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57" w:rsidRDefault="0014277B" w:rsidP="00E85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E6" w:rsidRDefault="003668E6" w:rsidP="00E85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8E6" w:rsidRPr="00E85657" w:rsidRDefault="003668E6" w:rsidP="00E856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57" w:rsidRPr="00E85657" w:rsidRDefault="00E85657" w:rsidP="00E8565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E85657" w:rsidRDefault="00E85657" w:rsidP="00E856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E6" w:rsidRPr="00E85657" w:rsidRDefault="003668E6" w:rsidP="00E856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57" w:rsidRPr="00E85657" w:rsidRDefault="00E85657" w:rsidP="00E85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М</w:t>
      </w:r>
      <w:r w:rsidR="003668E6">
        <w:rPr>
          <w:rFonts w:ascii="Times New Roman" w:hAnsi="Times New Roman" w:cs="Times New Roman"/>
          <w:sz w:val="28"/>
          <w:szCs w:val="28"/>
        </w:rPr>
        <w:t>ассарский Иван Григорьевич</w:t>
      </w:r>
    </w:p>
    <w:p w:rsidR="00E85657" w:rsidRPr="00E85657" w:rsidRDefault="00E85657" w:rsidP="00E85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57" w:rsidRPr="00E85657" w:rsidRDefault="00E85657" w:rsidP="00E85657">
      <w:pPr>
        <w:spacing w:line="360" w:lineRule="auto"/>
        <w:ind w:right="-185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85657">
        <w:rPr>
          <w:rFonts w:ascii="Times New Roman" w:hAnsi="Times New Roman" w:cs="Times New Roman"/>
          <w:caps/>
          <w:sz w:val="28"/>
          <w:szCs w:val="28"/>
        </w:rPr>
        <w:t>Сравнительная характеристика методов подготовки опорных зубов ДЛЯ изготовлениЯ несъемных протезов (клинико-лабораторное исследование)</w:t>
      </w:r>
    </w:p>
    <w:p w:rsidR="00E85657" w:rsidRPr="00E85657" w:rsidRDefault="00E85657" w:rsidP="00E85657">
      <w:pPr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E85657">
        <w:rPr>
          <w:rFonts w:ascii="Times New Roman" w:hAnsi="Times New Roman" w:cs="Times New Roman"/>
          <w:caps/>
          <w:sz w:val="32"/>
          <w:szCs w:val="32"/>
        </w:rPr>
        <w:t xml:space="preserve"> </w:t>
      </w:r>
    </w:p>
    <w:p w:rsidR="00E85657" w:rsidRPr="00E85657" w:rsidRDefault="00E85657" w:rsidP="00E85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57" w:rsidRPr="00E85657" w:rsidRDefault="00E85657" w:rsidP="00E85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14.01.14 – стоматология</w:t>
      </w:r>
    </w:p>
    <w:p w:rsidR="00E85657" w:rsidRPr="00E85657" w:rsidRDefault="00E85657" w:rsidP="00E8565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68E6" w:rsidRDefault="003668E6" w:rsidP="003668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Автореферат </w:t>
      </w:r>
    </w:p>
    <w:p w:rsidR="00E85657" w:rsidRPr="00E85657" w:rsidRDefault="003668E6" w:rsidP="003668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85657" w:rsidRPr="00E85657">
        <w:rPr>
          <w:rFonts w:ascii="Times New Roman" w:hAnsi="Times New Roman" w:cs="Times New Roman"/>
          <w:sz w:val="28"/>
          <w:szCs w:val="28"/>
        </w:rPr>
        <w:t>иссертаци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5657" w:rsidRPr="00E85657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</w:t>
      </w:r>
    </w:p>
    <w:p w:rsidR="00E85657" w:rsidRPr="00E85657" w:rsidRDefault="00E85657" w:rsidP="003668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кандидата медицинских наук</w:t>
      </w:r>
    </w:p>
    <w:p w:rsidR="003668E6" w:rsidRDefault="003668E6" w:rsidP="00E85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8E6" w:rsidRDefault="003668E6" w:rsidP="00E85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8E6" w:rsidRDefault="003668E6" w:rsidP="00E856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657" w:rsidRPr="00E85657" w:rsidRDefault="00E85657" w:rsidP="00E85657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Тверь</w:t>
      </w:r>
      <w:r w:rsidR="003668E6">
        <w:rPr>
          <w:rFonts w:ascii="Times New Roman" w:hAnsi="Times New Roman" w:cs="Times New Roman"/>
          <w:sz w:val="28"/>
          <w:szCs w:val="28"/>
        </w:rPr>
        <w:t xml:space="preserve"> –</w:t>
      </w:r>
      <w:r w:rsidRPr="00E85657">
        <w:rPr>
          <w:rFonts w:ascii="Times New Roman" w:hAnsi="Times New Roman" w:cs="Times New Roman"/>
          <w:sz w:val="28"/>
          <w:szCs w:val="28"/>
        </w:rPr>
        <w:t xml:space="preserve"> 2015</w:t>
      </w:r>
      <w:r w:rsidRPr="00E8565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B14" w:rsidRDefault="003668E6" w:rsidP="00F3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выполнена в </w:t>
      </w:r>
      <w:r w:rsidR="00623CFD">
        <w:rPr>
          <w:rFonts w:ascii="Times New Roman" w:hAnsi="Times New Roman" w:cs="Times New Roman"/>
          <w:sz w:val="28"/>
          <w:szCs w:val="28"/>
        </w:rPr>
        <w:t xml:space="preserve">Государственном бюджетном образовательном учреждении высшего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«Смол</w:t>
      </w:r>
      <w:r w:rsidR="00F366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нск</w:t>
      </w:r>
      <w:r w:rsidR="00623CF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23CF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23CF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FD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</w:t>
      </w:r>
      <w:r w:rsidR="00623CF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C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кафедр</w:t>
      </w:r>
      <w:r w:rsidR="00623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ортопедической стоматологии с курсом ортодонтии</w:t>
      </w:r>
      <w:r w:rsidR="00623CFD">
        <w:rPr>
          <w:rFonts w:ascii="Times New Roman" w:hAnsi="Times New Roman" w:cs="Times New Roman"/>
          <w:sz w:val="28"/>
          <w:szCs w:val="28"/>
        </w:rPr>
        <w:t>.</w:t>
      </w:r>
    </w:p>
    <w:p w:rsidR="003668E6" w:rsidRDefault="003668E6" w:rsidP="00F3661A">
      <w:pPr>
        <w:jc w:val="both"/>
        <w:rPr>
          <w:rFonts w:ascii="Times New Roman" w:hAnsi="Times New Roman" w:cs="Times New Roman"/>
          <w:sz w:val="28"/>
          <w:szCs w:val="28"/>
        </w:rPr>
      </w:pPr>
      <w:r w:rsidRPr="00325902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5902">
        <w:rPr>
          <w:rFonts w:ascii="Times New Roman" w:hAnsi="Times New Roman" w:cs="Times New Roman"/>
          <w:sz w:val="28"/>
          <w:szCs w:val="28"/>
        </w:rPr>
        <w:t xml:space="preserve">заведующий кафедрой ортопедической стоматологии с курсом ортодонтии ГБОУ ВПО СГМУ Минздрава РФ, </w:t>
      </w:r>
      <w:r>
        <w:rPr>
          <w:rFonts w:ascii="Times New Roman" w:hAnsi="Times New Roman" w:cs="Times New Roman"/>
          <w:sz w:val="28"/>
          <w:szCs w:val="28"/>
        </w:rPr>
        <w:t>доктор медицинских наук, профессор Аболмасов Николай Николаевич</w:t>
      </w:r>
    </w:p>
    <w:p w:rsidR="003668E6" w:rsidRDefault="003668E6">
      <w:pPr>
        <w:rPr>
          <w:rFonts w:ascii="Times New Roman" w:hAnsi="Times New Roman" w:cs="Times New Roman"/>
          <w:sz w:val="28"/>
          <w:szCs w:val="28"/>
        </w:rPr>
      </w:pPr>
      <w:r w:rsidRPr="00325902">
        <w:rPr>
          <w:rFonts w:ascii="Times New Roman" w:hAnsi="Times New Roman" w:cs="Times New Roman"/>
          <w:b/>
          <w:sz w:val="28"/>
          <w:szCs w:val="28"/>
        </w:rPr>
        <w:t>Официальные оппоненты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8E6" w:rsidRDefault="00623CFD" w:rsidP="00B904DA">
      <w:pPr>
        <w:jc w:val="both"/>
        <w:rPr>
          <w:rFonts w:ascii="Times New Roman" w:hAnsi="Times New Roman" w:cs="Times New Roman"/>
          <w:sz w:val="28"/>
          <w:szCs w:val="28"/>
        </w:rPr>
      </w:pPr>
      <w:r w:rsidRPr="003C1183">
        <w:rPr>
          <w:rFonts w:ascii="Times New Roman" w:hAnsi="Times New Roman" w:cs="Times New Roman"/>
          <w:b/>
          <w:sz w:val="28"/>
          <w:szCs w:val="28"/>
        </w:rPr>
        <w:t>Жулёв Евгений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8E6">
        <w:rPr>
          <w:rFonts w:ascii="Times New Roman" w:hAnsi="Times New Roman" w:cs="Times New Roman"/>
          <w:sz w:val="28"/>
          <w:szCs w:val="28"/>
        </w:rPr>
        <w:t xml:space="preserve"> – доктор медицинских наук, профессор </w:t>
      </w:r>
      <w:r>
        <w:rPr>
          <w:rFonts w:ascii="Times New Roman" w:hAnsi="Times New Roman" w:cs="Times New Roman"/>
          <w:sz w:val="28"/>
          <w:szCs w:val="28"/>
        </w:rPr>
        <w:t>заведующий кафедрой ортопедической стоматологии Государственного бюджетного образовательного учреждения высшего профессионального образования «Нижегородская государственная медицинская академия» Министерства здравоохранения Российской Федерации</w:t>
      </w:r>
    </w:p>
    <w:p w:rsidR="00623CFD" w:rsidRDefault="00FC2CF8" w:rsidP="00B904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1183">
        <w:rPr>
          <w:rFonts w:ascii="Times New Roman" w:hAnsi="Times New Roman" w:cs="Times New Roman"/>
          <w:b/>
          <w:sz w:val="28"/>
          <w:szCs w:val="28"/>
        </w:rPr>
        <w:t>Фадеев Роман Александрович</w:t>
      </w:r>
      <w:r w:rsidR="00623CF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23CFD">
        <w:rPr>
          <w:rFonts w:ascii="Times New Roman" w:hAnsi="Times New Roman" w:cs="Times New Roman"/>
          <w:sz w:val="28"/>
          <w:szCs w:val="28"/>
        </w:rPr>
        <w:t>– доктор медицинских наук, профессор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3CFD">
        <w:rPr>
          <w:rFonts w:ascii="Times New Roman" w:hAnsi="Times New Roman" w:cs="Times New Roman"/>
          <w:sz w:val="28"/>
          <w:szCs w:val="28"/>
        </w:rPr>
        <w:t xml:space="preserve"> </w:t>
      </w:r>
      <w:r w:rsidRPr="00A12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заведующий кафедрой ортодонтии негосударственного образовательного учреждения дополнительного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института повышения квалификации специалистов </w:t>
      </w:r>
      <w:r w:rsidRPr="00A12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«Санкт-Петербургский институт стоматологии»</w:t>
      </w:r>
    </w:p>
    <w:p w:rsidR="003668E6" w:rsidRDefault="003668E6" w:rsidP="00F3633A">
      <w:pPr>
        <w:jc w:val="both"/>
        <w:rPr>
          <w:rFonts w:ascii="Times New Roman" w:hAnsi="Times New Roman" w:cs="Times New Roman"/>
          <w:sz w:val="28"/>
          <w:szCs w:val="28"/>
        </w:rPr>
      </w:pPr>
      <w:r w:rsidRPr="00325902">
        <w:rPr>
          <w:rFonts w:ascii="Times New Roman" w:hAnsi="Times New Roman" w:cs="Times New Roman"/>
          <w:b/>
          <w:sz w:val="28"/>
          <w:szCs w:val="28"/>
        </w:rPr>
        <w:t>Ведущая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61A">
        <w:rPr>
          <w:rFonts w:ascii="Times New Roman" w:hAnsi="Times New Roman" w:cs="Times New Roman"/>
          <w:sz w:val="28"/>
          <w:szCs w:val="28"/>
        </w:rPr>
        <w:t xml:space="preserve">– </w:t>
      </w:r>
      <w:r w:rsidR="00623CFD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  <w:r w:rsidR="00F3661A">
        <w:rPr>
          <w:rFonts w:ascii="Times New Roman" w:hAnsi="Times New Roman" w:cs="Times New Roman"/>
          <w:sz w:val="28"/>
          <w:szCs w:val="28"/>
        </w:rPr>
        <w:t xml:space="preserve"> «Первый Санкт-Петербургский государственный медицинский университет имени </w:t>
      </w:r>
      <w:r w:rsidR="00623CFD">
        <w:rPr>
          <w:rFonts w:ascii="Times New Roman" w:hAnsi="Times New Roman" w:cs="Times New Roman"/>
          <w:sz w:val="28"/>
          <w:szCs w:val="28"/>
        </w:rPr>
        <w:t xml:space="preserve">академика </w:t>
      </w:r>
      <w:r w:rsidR="00F3661A">
        <w:rPr>
          <w:rFonts w:ascii="Times New Roman" w:hAnsi="Times New Roman" w:cs="Times New Roman"/>
          <w:sz w:val="28"/>
          <w:szCs w:val="28"/>
        </w:rPr>
        <w:t xml:space="preserve">И.П. Павлова» Министерства здравоохранения </w:t>
      </w:r>
      <w:r w:rsidR="00623CF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3668E6" w:rsidRDefault="003668E6" w:rsidP="00F3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состоится «___» _________ 2015 г. в ___ часов на заседании диссертационного совета</w:t>
      </w:r>
      <w:r w:rsidR="000F28F7">
        <w:rPr>
          <w:rFonts w:ascii="Times New Roman" w:hAnsi="Times New Roman" w:cs="Times New Roman"/>
          <w:sz w:val="28"/>
          <w:szCs w:val="28"/>
        </w:rPr>
        <w:t xml:space="preserve"> Д 208.099.01 на базе ГБОУ ВПО «Тверск</w:t>
      </w:r>
      <w:r w:rsidR="00623CFD">
        <w:rPr>
          <w:rFonts w:ascii="Times New Roman" w:hAnsi="Times New Roman" w:cs="Times New Roman"/>
          <w:sz w:val="28"/>
          <w:szCs w:val="28"/>
        </w:rPr>
        <w:t>ой</w:t>
      </w:r>
      <w:r w:rsidR="000F28F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23CFD">
        <w:rPr>
          <w:rFonts w:ascii="Times New Roman" w:hAnsi="Times New Roman" w:cs="Times New Roman"/>
          <w:sz w:val="28"/>
          <w:szCs w:val="28"/>
        </w:rPr>
        <w:t>ый</w:t>
      </w:r>
      <w:r w:rsidR="000F28F7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23CFD">
        <w:rPr>
          <w:rFonts w:ascii="Times New Roman" w:hAnsi="Times New Roman" w:cs="Times New Roman"/>
          <w:sz w:val="28"/>
          <w:szCs w:val="28"/>
        </w:rPr>
        <w:t>ий университет</w:t>
      </w:r>
      <w:r w:rsidR="000F28F7">
        <w:rPr>
          <w:rFonts w:ascii="Times New Roman" w:hAnsi="Times New Roman" w:cs="Times New Roman"/>
          <w:sz w:val="28"/>
          <w:szCs w:val="28"/>
        </w:rPr>
        <w:t>» Минздрав</w:t>
      </w:r>
      <w:r w:rsidR="00623CFD">
        <w:rPr>
          <w:rFonts w:ascii="Times New Roman" w:hAnsi="Times New Roman" w:cs="Times New Roman"/>
          <w:sz w:val="28"/>
          <w:szCs w:val="28"/>
        </w:rPr>
        <w:t>а</w:t>
      </w:r>
      <w:r w:rsidR="000F28F7">
        <w:rPr>
          <w:rFonts w:ascii="Times New Roman" w:hAnsi="Times New Roman" w:cs="Times New Roman"/>
          <w:sz w:val="28"/>
          <w:szCs w:val="28"/>
        </w:rPr>
        <w:t xml:space="preserve"> РФ по адресу: </w:t>
      </w:r>
      <w:r w:rsidR="00623CFD">
        <w:rPr>
          <w:rFonts w:ascii="Times New Roman" w:hAnsi="Times New Roman" w:cs="Times New Roman"/>
          <w:sz w:val="28"/>
          <w:szCs w:val="28"/>
        </w:rPr>
        <w:t>170100</w:t>
      </w:r>
      <w:r w:rsidR="000F28F7">
        <w:rPr>
          <w:rFonts w:ascii="Times New Roman" w:hAnsi="Times New Roman" w:cs="Times New Roman"/>
          <w:sz w:val="28"/>
          <w:szCs w:val="28"/>
        </w:rPr>
        <w:t>, г. Тверь, ул. Советская, 4</w:t>
      </w:r>
    </w:p>
    <w:p w:rsidR="000F28F7" w:rsidRPr="00BB54E2" w:rsidRDefault="000F28F7" w:rsidP="00F3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библиотеке </w:t>
      </w:r>
      <w:r w:rsidR="00C46091">
        <w:rPr>
          <w:rFonts w:ascii="Times New Roman" w:hAnsi="Times New Roman" w:cs="Times New Roman"/>
          <w:sz w:val="28"/>
          <w:szCs w:val="28"/>
        </w:rPr>
        <w:t>ГБОУ ВПО «</w:t>
      </w:r>
      <w:r>
        <w:rPr>
          <w:rFonts w:ascii="Times New Roman" w:hAnsi="Times New Roman" w:cs="Times New Roman"/>
          <w:sz w:val="28"/>
          <w:szCs w:val="28"/>
        </w:rPr>
        <w:t>Тверск</w:t>
      </w:r>
      <w:r w:rsidR="00623CF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23CF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23CF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FD">
        <w:rPr>
          <w:rFonts w:ascii="Times New Roman" w:hAnsi="Times New Roman" w:cs="Times New Roman"/>
          <w:sz w:val="28"/>
          <w:szCs w:val="28"/>
        </w:rPr>
        <w:t>университет</w:t>
      </w:r>
      <w:r w:rsidR="00C46091">
        <w:rPr>
          <w:rFonts w:ascii="Times New Roman" w:hAnsi="Times New Roman" w:cs="Times New Roman"/>
          <w:sz w:val="28"/>
          <w:szCs w:val="28"/>
        </w:rPr>
        <w:t>» Минздрав</w:t>
      </w:r>
      <w:r w:rsidR="00B904DA">
        <w:rPr>
          <w:rFonts w:ascii="Times New Roman" w:hAnsi="Times New Roman" w:cs="Times New Roman"/>
          <w:sz w:val="28"/>
          <w:szCs w:val="28"/>
        </w:rPr>
        <w:t>а</w:t>
      </w:r>
      <w:r w:rsidR="00C46091">
        <w:rPr>
          <w:rFonts w:ascii="Times New Roman" w:hAnsi="Times New Roman" w:cs="Times New Roman"/>
          <w:sz w:val="28"/>
          <w:szCs w:val="28"/>
        </w:rPr>
        <w:t xml:space="preserve"> РФ и на сайте www.</w:t>
      </w:r>
      <w:r w:rsidR="00BB54E2">
        <w:rPr>
          <w:rFonts w:ascii="Times New Roman" w:hAnsi="Times New Roman" w:cs="Times New Roman"/>
          <w:sz w:val="28"/>
          <w:szCs w:val="28"/>
          <w:lang w:val="en-US"/>
        </w:rPr>
        <w:t>tvergma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54E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28F7" w:rsidRDefault="000F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«___» _________ 2015 г.</w:t>
      </w:r>
    </w:p>
    <w:p w:rsidR="00325902" w:rsidRDefault="00325902">
      <w:pPr>
        <w:rPr>
          <w:rFonts w:ascii="Times New Roman" w:hAnsi="Times New Roman" w:cs="Times New Roman"/>
          <w:sz w:val="28"/>
          <w:szCs w:val="28"/>
        </w:rPr>
      </w:pPr>
    </w:p>
    <w:p w:rsidR="000F28F7" w:rsidRDefault="000F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                       В.В. Мурга</w:t>
      </w:r>
    </w:p>
    <w:p w:rsidR="00E85657" w:rsidRPr="00AA1B14" w:rsidRDefault="00E85657" w:rsidP="00AA1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14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работы</w:t>
      </w:r>
    </w:p>
    <w:p w:rsidR="00E85657" w:rsidRPr="00E85657" w:rsidRDefault="00E85657" w:rsidP="003E2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57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</w:p>
    <w:p w:rsidR="00A17605" w:rsidRDefault="00E85657" w:rsidP="00AA1B1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C2DB0">
        <w:rPr>
          <w:rFonts w:ascii="Times New Roman" w:hAnsi="Times New Roman"/>
          <w:sz w:val="28"/>
          <w:szCs w:val="28"/>
        </w:rPr>
        <w:t>Несмотря на значительные успехи стоматологии при замещении дефектов зубов и зубных рядов за последние десятилетия, число неу</w:t>
      </w:r>
      <w:r>
        <w:rPr>
          <w:rFonts w:ascii="Times New Roman" w:hAnsi="Times New Roman"/>
          <w:sz w:val="28"/>
          <w:szCs w:val="28"/>
        </w:rPr>
        <w:t xml:space="preserve">дач достаточно велико </w:t>
      </w:r>
      <w:r w:rsidRPr="00E85657">
        <w:rPr>
          <w:rFonts w:ascii="Times New Roman" w:hAnsi="Times New Roman" w:cs="Times New Roman"/>
          <w:sz w:val="28"/>
          <w:szCs w:val="28"/>
        </w:rPr>
        <w:t>(Трезубов В.Н., Сапронова О.Н.</w:t>
      </w:r>
      <w:r w:rsidR="00535F0A">
        <w:rPr>
          <w:rFonts w:ascii="Times New Roman" w:hAnsi="Times New Roman" w:cs="Times New Roman"/>
          <w:sz w:val="28"/>
          <w:szCs w:val="28"/>
        </w:rPr>
        <w:t xml:space="preserve">, </w:t>
      </w:r>
      <w:r w:rsidR="00535F0A" w:rsidRPr="00535F0A">
        <w:rPr>
          <w:rFonts w:ascii="Times New Roman" w:hAnsi="Times New Roman" w:cs="Times New Roman"/>
          <w:sz w:val="28"/>
          <w:szCs w:val="28"/>
        </w:rPr>
        <w:t xml:space="preserve">Колесов О.Ю. </w:t>
      </w:r>
      <w:r w:rsidRPr="00E85657">
        <w:rPr>
          <w:rFonts w:ascii="Times New Roman" w:hAnsi="Times New Roman" w:cs="Times New Roman"/>
          <w:sz w:val="28"/>
          <w:szCs w:val="28"/>
        </w:rPr>
        <w:t xml:space="preserve"> и соавт., 2007)</w:t>
      </w:r>
      <w:r w:rsidRPr="005C2DB0">
        <w:rPr>
          <w:rFonts w:ascii="Times New Roman" w:hAnsi="Times New Roman"/>
          <w:sz w:val="28"/>
          <w:szCs w:val="28"/>
        </w:rPr>
        <w:t xml:space="preserve">. Одной из наиболее распространенных причин низкой эффективности протезирования штифтовыми конструкциями </w:t>
      </w:r>
      <w:r>
        <w:rPr>
          <w:rFonts w:ascii="Times New Roman" w:hAnsi="Times New Roman"/>
          <w:sz w:val="28"/>
          <w:szCs w:val="28"/>
        </w:rPr>
        <w:t>являются</w:t>
      </w:r>
      <w:r w:rsidRPr="005C2DB0">
        <w:rPr>
          <w:rFonts w:ascii="Times New Roman" w:hAnsi="Times New Roman"/>
          <w:sz w:val="28"/>
          <w:szCs w:val="28"/>
        </w:rPr>
        <w:t xml:space="preserve"> ошибки в выборе вида штифтовой конструкции,  препарировании твердых тканей зуба</w:t>
      </w:r>
      <w:r>
        <w:rPr>
          <w:rFonts w:ascii="Times New Roman" w:hAnsi="Times New Roman"/>
          <w:sz w:val="28"/>
          <w:szCs w:val="28"/>
        </w:rPr>
        <w:t>, а также</w:t>
      </w:r>
      <w:r w:rsidRPr="005C2DB0">
        <w:rPr>
          <w:rFonts w:ascii="Times New Roman" w:hAnsi="Times New Roman"/>
          <w:sz w:val="28"/>
          <w:szCs w:val="28"/>
        </w:rPr>
        <w:t xml:space="preserve"> осложнения после эндодонтических вмешательств</w:t>
      </w:r>
      <w:r w:rsidRPr="00F66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C2DB0">
        <w:rPr>
          <w:rFonts w:ascii="Times New Roman" w:hAnsi="Times New Roman"/>
          <w:sz w:val="28"/>
          <w:szCs w:val="28"/>
        </w:rPr>
        <w:t>Головкина</w:t>
      </w:r>
      <w:r>
        <w:rPr>
          <w:rFonts w:ascii="Times New Roman" w:hAnsi="Times New Roman"/>
          <w:sz w:val="28"/>
          <w:szCs w:val="28"/>
        </w:rPr>
        <w:t xml:space="preserve"> В.Ю.,</w:t>
      </w:r>
      <w:r w:rsidRPr="005C2DB0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>;</w:t>
      </w:r>
      <w:r w:rsidRPr="005C2DB0">
        <w:rPr>
          <w:rFonts w:ascii="Times New Roman" w:hAnsi="Times New Roman"/>
          <w:sz w:val="28"/>
          <w:szCs w:val="28"/>
        </w:rPr>
        <w:t xml:space="preserve"> Арутюнов</w:t>
      </w:r>
      <w:r>
        <w:rPr>
          <w:rFonts w:ascii="Times New Roman" w:hAnsi="Times New Roman"/>
          <w:sz w:val="28"/>
          <w:szCs w:val="28"/>
        </w:rPr>
        <w:t xml:space="preserve"> С.Д.,</w:t>
      </w:r>
      <w:r w:rsidRPr="005C2DB0">
        <w:rPr>
          <w:rFonts w:ascii="Times New Roman" w:hAnsi="Times New Roman"/>
          <w:sz w:val="28"/>
          <w:szCs w:val="28"/>
        </w:rPr>
        <w:t xml:space="preserve"> 2003).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657" w:rsidRPr="005C2DB0" w:rsidRDefault="00E85657" w:rsidP="00AA1B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2DB0">
        <w:rPr>
          <w:rFonts w:ascii="Times New Roman" w:hAnsi="Times New Roman"/>
          <w:sz w:val="28"/>
          <w:szCs w:val="28"/>
        </w:rPr>
        <w:t xml:space="preserve">При подготовке опорных зубов к протезированию эндодонтические вмешательства </w:t>
      </w:r>
      <w:r>
        <w:rPr>
          <w:rFonts w:ascii="Times New Roman" w:hAnsi="Times New Roman"/>
          <w:sz w:val="28"/>
          <w:szCs w:val="28"/>
        </w:rPr>
        <w:t>обусловлены</w:t>
      </w:r>
      <w:r w:rsidRPr="005C2DB0">
        <w:rPr>
          <w:rFonts w:ascii="Times New Roman" w:hAnsi="Times New Roman"/>
          <w:sz w:val="28"/>
          <w:szCs w:val="28"/>
        </w:rPr>
        <w:t xml:space="preserve"> осложнениями кариеса или необходимостью их депульп</w:t>
      </w:r>
      <w:r>
        <w:rPr>
          <w:rFonts w:ascii="Times New Roman" w:hAnsi="Times New Roman"/>
          <w:sz w:val="28"/>
          <w:szCs w:val="28"/>
        </w:rPr>
        <w:t>ации</w:t>
      </w:r>
      <w:r w:rsidRPr="005C2DB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медицинским показаниям (Барер</w:t>
      </w:r>
      <w:r w:rsidR="00A17605">
        <w:rPr>
          <w:rFonts w:ascii="Times New Roman" w:hAnsi="Times New Roman"/>
          <w:sz w:val="28"/>
          <w:szCs w:val="28"/>
        </w:rPr>
        <w:t xml:space="preserve"> Г.М.,</w:t>
      </w:r>
      <w:r w:rsidR="00A17605" w:rsidRPr="00A17605">
        <w:rPr>
          <w:sz w:val="28"/>
          <w:szCs w:val="28"/>
        </w:rPr>
        <w:t xml:space="preserve"> </w:t>
      </w:r>
      <w:r w:rsidR="00A17605" w:rsidRPr="00A17605">
        <w:rPr>
          <w:rFonts w:ascii="Times New Roman" w:hAnsi="Times New Roman" w:cs="Times New Roman"/>
          <w:sz w:val="28"/>
          <w:szCs w:val="28"/>
        </w:rPr>
        <w:t>Воложин А.И., Бойков М.И.</w:t>
      </w:r>
      <w:r w:rsidRPr="00A17605">
        <w:rPr>
          <w:rFonts w:ascii="Times New Roman" w:hAnsi="Times New Roman" w:cs="Times New Roman"/>
          <w:sz w:val="28"/>
          <w:szCs w:val="28"/>
        </w:rPr>
        <w:t>, 2</w:t>
      </w:r>
      <w:r w:rsidRPr="005C2DB0">
        <w:rPr>
          <w:rFonts w:ascii="Times New Roman" w:hAnsi="Times New Roman"/>
          <w:sz w:val="28"/>
          <w:szCs w:val="28"/>
        </w:rPr>
        <w:t>007; Максимовский</w:t>
      </w:r>
      <w:r w:rsidR="00A17605">
        <w:rPr>
          <w:rFonts w:ascii="Times New Roman" w:hAnsi="Times New Roman"/>
          <w:sz w:val="28"/>
          <w:szCs w:val="28"/>
        </w:rPr>
        <w:t xml:space="preserve"> Ю.М.</w:t>
      </w:r>
      <w:r w:rsidRPr="005C2DB0">
        <w:rPr>
          <w:rFonts w:ascii="Times New Roman" w:hAnsi="Times New Roman"/>
          <w:sz w:val="28"/>
          <w:szCs w:val="28"/>
        </w:rPr>
        <w:t xml:space="preserve">, </w:t>
      </w:r>
      <w:r w:rsidR="00A17605">
        <w:rPr>
          <w:rFonts w:ascii="Times New Roman" w:hAnsi="Times New Roman"/>
          <w:sz w:val="28"/>
          <w:szCs w:val="28"/>
        </w:rPr>
        <w:t xml:space="preserve">Митронин А.В., </w:t>
      </w:r>
      <w:r w:rsidRPr="005C2DB0">
        <w:rPr>
          <w:rFonts w:ascii="Times New Roman" w:hAnsi="Times New Roman"/>
          <w:sz w:val="28"/>
          <w:szCs w:val="28"/>
        </w:rPr>
        <w:t xml:space="preserve">2004), </w:t>
      </w:r>
      <w:r>
        <w:rPr>
          <w:rFonts w:ascii="Times New Roman" w:hAnsi="Times New Roman"/>
          <w:sz w:val="28"/>
          <w:szCs w:val="28"/>
        </w:rPr>
        <w:t>Последнее</w:t>
      </w:r>
      <w:r w:rsidRPr="005C2DB0">
        <w:rPr>
          <w:rFonts w:ascii="Times New Roman" w:hAnsi="Times New Roman"/>
          <w:sz w:val="28"/>
          <w:szCs w:val="28"/>
        </w:rPr>
        <w:t xml:space="preserve"> должно проводиться по строгим показаниям (</w:t>
      </w:r>
      <w:r w:rsidR="00A17605" w:rsidRPr="00A17605">
        <w:rPr>
          <w:rFonts w:ascii="Times New Roman" w:hAnsi="Times New Roman" w:cs="Times New Roman"/>
          <w:sz w:val="28"/>
          <w:szCs w:val="28"/>
        </w:rPr>
        <w:t xml:space="preserve">Аболмасов Н.Г., Аболмасов Н.Н., Ковальков В.К. </w:t>
      </w:r>
      <w:r>
        <w:rPr>
          <w:rFonts w:ascii="Times New Roman" w:hAnsi="Times New Roman"/>
          <w:sz w:val="28"/>
          <w:szCs w:val="28"/>
        </w:rPr>
        <w:t xml:space="preserve">и соавт., 2012; </w:t>
      </w:r>
      <w:r w:rsidR="00A17605" w:rsidRPr="00A17605">
        <w:rPr>
          <w:rFonts w:ascii="Times New Roman" w:hAnsi="Times New Roman" w:cs="Times New Roman"/>
          <w:sz w:val="28"/>
          <w:szCs w:val="28"/>
        </w:rPr>
        <w:t>Симановская О.Е., Мокшин К.А.</w:t>
      </w:r>
      <w:r w:rsidRPr="00A17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DB0">
        <w:rPr>
          <w:rFonts w:ascii="Times New Roman" w:hAnsi="Times New Roman"/>
          <w:sz w:val="28"/>
          <w:szCs w:val="28"/>
        </w:rPr>
        <w:t>2008).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657" w:rsidRPr="005C2DB0" w:rsidRDefault="00E85657" w:rsidP="00AA1B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C2DB0">
        <w:rPr>
          <w:rFonts w:ascii="Times New Roman" w:hAnsi="Times New Roman"/>
          <w:sz w:val="28"/>
          <w:szCs w:val="28"/>
        </w:rPr>
        <w:t xml:space="preserve">епульпирование ведет </w:t>
      </w:r>
      <w:r>
        <w:rPr>
          <w:rFonts w:ascii="Times New Roman" w:hAnsi="Times New Roman"/>
          <w:sz w:val="28"/>
          <w:szCs w:val="28"/>
        </w:rPr>
        <w:t>к</w:t>
      </w:r>
      <w:r w:rsidRPr="005C2DB0">
        <w:rPr>
          <w:rFonts w:ascii="Times New Roman" w:hAnsi="Times New Roman"/>
          <w:sz w:val="28"/>
          <w:szCs w:val="28"/>
        </w:rPr>
        <w:t xml:space="preserve"> снижению твердости и устойчивости к жевательной нагр</w:t>
      </w:r>
      <w:r>
        <w:rPr>
          <w:rFonts w:ascii="Times New Roman" w:hAnsi="Times New Roman"/>
          <w:sz w:val="28"/>
          <w:szCs w:val="28"/>
        </w:rPr>
        <w:t>узке (</w:t>
      </w:r>
      <w:r w:rsidRPr="005C2DB0">
        <w:rPr>
          <w:rFonts w:ascii="Times New Roman" w:hAnsi="Times New Roman"/>
          <w:sz w:val="28"/>
          <w:szCs w:val="28"/>
        </w:rPr>
        <w:t>Гречишников</w:t>
      </w:r>
      <w:r w:rsidR="00A17605">
        <w:rPr>
          <w:rFonts w:ascii="Times New Roman" w:hAnsi="Times New Roman"/>
          <w:sz w:val="28"/>
          <w:szCs w:val="28"/>
        </w:rPr>
        <w:t xml:space="preserve"> В.В.</w:t>
      </w:r>
      <w:r w:rsidRPr="005C2DB0">
        <w:rPr>
          <w:rFonts w:ascii="Times New Roman" w:hAnsi="Times New Roman"/>
          <w:sz w:val="28"/>
          <w:szCs w:val="28"/>
        </w:rPr>
        <w:t xml:space="preserve">, 2008; </w:t>
      </w:r>
      <w:r w:rsidR="00A17605" w:rsidRPr="00A17605">
        <w:rPr>
          <w:rFonts w:ascii="Times New Roman" w:hAnsi="Times New Roman" w:cs="Times New Roman"/>
          <w:sz w:val="28"/>
          <w:szCs w:val="28"/>
          <w:lang w:val="en-US"/>
        </w:rPr>
        <w:t>Tang</w:t>
      </w:r>
      <w:r w:rsidR="00A17605" w:rsidRPr="00A17605">
        <w:rPr>
          <w:rFonts w:ascii="Times New Roman" w:hAnsi="Times New Roman" w:cs="Times New Roman"/>
          <w:sz w:val="28"/>
          <w:szCs w:val="28"/>
        </w:rPr>
        <w:t xml:space="preserve"> </w:t>
      </w:r>
      <w:r w:rsidR="00A17605" w:rsidRPr="00A176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17605" w:rsidRPr="00A17605">
        <w:rPr>
          <w:rFonts w:ascii="Times New Roman" w:hAnsi="Times New Roman" w:cs="Times New Roman"/>
          <w:sz w:val="28"/>
          <w:szCs w:val="28"/>
        </w:rPr>
        <w:t xml:space="preserve">., </w:t>
      </w:r>
      <w:r w:rsidR="00A17605" w:rsidRPr="00A17605">
        <w:rPr>
          <w:rFonts w:ascii="Times New Roman" w:hAnsi="Times New Roman" w:cs="Times New Roman"/>
          <w:sz w:val="28"/>
          <w:szCs w:val="28"/>
          <w:lang w:val="en-US"/>
        </w:rPr>
        <w:t>Wu</w:t>
      </w:r>
      <w:r w:rsidR="00A17605" w:rsidRPr="00A17605">
        <w:rPr>
          <w:rFonts w:ascii="Times New Roman" w:hAnsi="Times New Roman" w:cs="Times New Roman"/>
          <w:sz w:val="28"/>
          <w:szCs w:val="28"/>
        </w:rPr>
        <w:t xml:space="preserve"> </w:t>
      </w:r>
      <w:r w:rsidR="00A17605" w:rsidRPr="00A1760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17605" w:rsidRPr="00A17605">
        <w:rPr>
          <w:rFonts w:ascii="Times New Roman" w:hAnsi="Times New Roman" w:cs="Times New Roman"/>
          <w:sz w:val="28"/>
          <w:szCs w:val="28"/>
        </w:rPr>
        <w:t xml:space="preserve">., </w:t>
      </w:r>
      <w:r w:rsidR="00A17605" w:rsidRPr="00A17605">
        <w:rPr>
          <w:rFonts w:ascii="Times New Roman" w:hAnsi="Times New Roman" w:cs="Times New Roman"/>
          <w:sz w:val="28"/>
          <w:szCs w:val="28"/>
          <w:lang w:val="en-US"/>
        </w:rPr>
        <w:t>Smales</w:t>
      </w:r>
      <w:r w:rsidR="00A17605" w:rsidRPr="00A17605">
        <w:rPr>
          <w:rFonts w:ascii="Times New Roman" w:hAnsi="Times New Roman" w:cs="Times New Roman"/>
          <w:sz w:val="28"/>
          <w:szCs w:val="28"/>
        </w:rPr>
        <w:t xml:space="preserve"> </w:t>
      </w:r>
      <w:r w:rsidR="00A17605" w:rsidRPr="00A176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17605" w:rsidRPr="00A17605">
        <w:rPr>
          <w:rFonts w:ascii="Times New Roman" w:hAnsi="Times New Roman" w:cs="Times New Roman"/>
          <w:sz w:val="28"/>
          <w:szCs w:val="28"/>
        </w:rPr>
        <w:t>.</w:t>
      </w:r>
      <w:r w:rsidR="00A17605" w:rsidRPr="00A1760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17605" w:rsidRPr="00A17605">
        <w:rPr>
          <w:rFonts w:ascii="Times New Roman" w:hAnsi="Times New Roman" w:cs="Times New Roman"/>
          <w:sz w:val="28"/>
          <w:szCs w:val="28"/>
        </w:rPr>
        <w:t>.</w:t>
      </w:r>
      <w:r w:rsidRPr="00A17605">
        <w:rPr>
          <w:rFonts w:ascii="Times New Roman" w:hAnsi="Times New Roman" w:cs="Times New Roman"/>
          <w:sz w:val="28"/>
          <w:szCs w:val="28"/>
        </w:rPr>
        <w:t xml:space="preserve">, </w:t>
      </w:r>
      <w:r w:rsidRPr="005C2DB0">
        <w:rPr>
          <w:rFonts w:ascii="Times New Roman" w:hAnsi="Times New Roman"/>
          <w:sz w:val="28"/>
          <w:szCs w:val="28"/>
        </w:rPr>
        <w:t>2010). Так, создание адекватного доступа к корневым каналам сопровождается значительным нарушением а</w:t>
      </w:r>
      <w:r>
        <w:rPr>
          <w:rFonts w:ascii="Times New Roman" w:hAnsi="Times New Roman"/>
          <w:sz w:val="28"/>
          <w:szCs w:val="28"/>
        </w:rPr>
        <w:t>рхитектуры зуба (Петрикас А.Ж., 2000),</w:t>
      </w:r>
      <w:r w:rsidRPr="005C2DB0">
        <w:rPr>
          <w:rFonts w:ascii="Times New Roman" w:hAnsi="Times New Roman"/>
          <w:sz w:val="28"/>
          <w:szCs w:val="28"/>
        </w:rPr>
        <w:t xml:space="preserve"> а удаление сосудисто-нервного пучка приводит к значительному увеличению проницаемости твердых тканей (</w:t>
      </w:r>
      <w:r w:rsidR="00535F0A" w:rsidRPr="00535F0A">
        <w:rPr>
          <w:rFonts w:ascii="Times New Roman" w:hAnsi="Times New Roman" w:cs="Times New Roman"/>
          <w:color w:val="000000"/>
          <w:sz w:val="28"/>
        </w:rPr>
        <w:t>Логинова Н.К., Колесник А.Г., Бартенев В.С.</w:t>
      </w:r>
      <w:r>
        <w:rPr>
          <w:rFonts w:ascii="Times New Roman" w:hAnsi="Times New Roman"/>
          <w:sz w:val="28"/>
          <w:szCs w:val="28"/>
        </w:rPr>
        <w:t>, 2006</w:t>
      </w:r>
      <w:r w:rsidRPr="005C2DB0">
        <w:rPr>
          <w:rFonts w:ascii="Times New Roman" w:hAnsi="Times New Roman"/>
          <w:sz w:val="28"/>
          <w:szCs w:val="28"/>
        </w:rPr>
        <w:t xml:space="preserve">). Кроме того, воспалительный процесс в пульпе </w:t>
      </w:r>
      <w:r>
        <w:rPr>
          <w:rFonts w:ascii="Times New Roman" w:hAnsi="Times New Roman"/>
          <w:sz w:val="28"/>
          <w:szCs w:val="28"/>
        </w:rPr>
        <w:t xml:space="preserve">зуба </w:t>
      </w:r>
      <w:r w:rsidRPr="005C2DB0">
        <w:rPr>
          <w:rFonts w:ascii="Times New Roman" w:hAnsi="Times New Roman"/>
          <w:sz w:val="28"/>
          <w:szCs w:val="28"/>
        </w:rPr>
        <w:t>сопровождается активизацией кислотообразования, что приводит к деминерализации дентина, дегидратации органической матрицы с дальне</w:t>
      </w:r>
      <w:r>
        <w:rPr>
          <w:rFonts w:ascii="Times New Roman" w:hAnsi="Times New Roman"/>
          <w:sz w:val="28"/>
          <w:szCs w:val="28"/>
        </w:rPr>
        <w:t>йшей ее денатурацией (Головкина В.Ю.</w:t>
      </w:r>
      <w:r w:rsidRPr="005C2DB0">
        <w:rPr>
          <w:rFonts w:ascii="Times New Roman" w:hAnsi="Times New Roman"/>
          <w:sz w:val="28"/>
          <w:szCs w:val="28"/>
        </w:rPr>
        <w:t>, 2008)</w:t>
      </w:r>
      <w:r>
        <w:rPr>
          <w:rFonts w:ascii="Times New Roman" w:hAnsi="Times New Roman"/>
          <w:sz w:val="28"/>
          <w:szCs w:val="28"/>
        </w:rPr>
        <w:t>. П</w:t>
      </w:r>
      <w:r w:rsidRPr="005C2DB0">
        <w:rPr>
          <w:rFonts w:ascii="Times New Roman" w:hAnsi="Times New Roman"/>
          <w:sz w:val="28"/>
          <w:szCs w:val="28"/>
        </w:rPr>
        <w:t>оэтому</w:t>
      </w:r>
      <w:r>
        <w:rPr>
          <w:rFonts w:ascii="Times New Roman" w:hAnsi="Times New Roman"/>
          <w:sz w:val="28"/>
          <w:szCs w:val="28"/>
        </w:rPr>
        <w:t>,</w:t>
      </w:r>
      <w:r w:rsidRPr="005C2DB0">
        <w:rPr>
          <w:rFonts w:ascii="Times New Roman" w:hAnsi="Times New Roman"/>
          <w:sz w:val="28"/>
          <w:szCs w:val="28"/>
        </w:rPr>
        <w:t xml:space="preserve"> по мнению </w:t>
      </w:r>
      <w:r w:rsidR="00535F0A">
        <w:rPr>
          <w:rFonts w:ascii="Times New Roman" w:hAnsi="Times New Roman"/>
          <w:sz w:val="28"/>
          <w:szCs w:val="28"/>
        </w:rPr>
        <w:t xml:space="preserve">В.В. </w:t>
      </w:r>
      <w:r w:rsidRPr="005C2DB0">
        <w:rPr>
          <w:rFonts w:ascii="Times New Roman" w:hAnsi="Times New Roman"/>
          <w:sz w:val="28"/>
          <w:szCs w:val="28"/>
        </w:rPr>
        <w:t>Гречишникова (2008), необходимо использ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5C2DB0">
        <w:rPr>
          <w:rFonts w:ascii="Times New Roman" w:hAnsi="Times New Roman"/>
          <w:sz w:val="28"/>
          <w:szCs w:val="28"/>
        </w:rPr>
        <w:t>методы и средства, стабилизирующие структуру дентина. Мы считаем эту задачу весьма актуальной, так как после удаления сосудисто-нервного пучка внутренняя поверхность дентина корневых каналов и культей препарированных зубов легко подвергается бактериальной инвазии. Защитить дентин позволяет относительно новый класс материалов - поверхностные герметики (</w:t>
      </w:r>
      <w:r w:rsidR="00535F0A" w:rsidRPr="00E85657">
        <w:rPr>
          <w:rFonts w:ascii="Times New Roman" w:hAnsi="Times New Roman" w:cs="Times New Roman"/>
          <w:sz w:val="28"/>
          <w:szCs w:val="28"/>
        </w:rPr>
        <w:t xml:space="preserve">Салова А.В., </w:t>
      </w:r>
      <w:r w:rsidR="00535F0A" w:rsidRPr="00E85657">
        <w:rPr>
          <w:rStyle w:val="body"/>
          <w:rFonts w:ascii="Times New Roman" w:hAnsi="Times New Roman" w:cs="Times New Roman"/>
          <w:bCs/>
          <w:sz w:val="28"/>
          <w:szCs w:val="28"/>
        </w:rPr>
        <w:t>Рехачев В.М.</w:t>
      </w:r>
      <w:r w:rsidRPr="005C2DB0">
        <w:rPr>
          <w:rStyle w:val="body"/>
          <w:rFonts w:ascii="Times New Roman" w:hAnsi="Times New Roman"/>
          <w:bCs/>
          <w:sz w:val="28"/>
          <w:szCs w:val="28"/>
        </w:rPr>
        <w:t>, 2008</w:t>
      </w:r>
      <w:r w:rsidRPr="005C2DB0">
        <w:rPr>
          <w:rFonts w:ascii="Times New Roman" w:hAnsi="Times New Roman"/>
          <w:sz w:val="28"/>
          <w:szCs w:val="28"/>
        </w:rPr>
        <w:t>).</w:t>
      </w:r>
    </w:p>
    <w:p w:rsidR="00E85657" w:rsidRPr="005C2DB0" w:rsidRDefault="00E85657" w:rsidP="00AA1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DB0">
        <w:rPr>
          <w:rFonts w:ascii="Times New Roman" w:hAnsi="Times New Roman"/>
          <w:sz w:val="28"/>
          <w:szCs w:val="28"/>
        </w:rPr>
        <w:t xml:space="preserve">По данным </w:t>
      </w:r>
      <w:r w:rsidR="00535F0A" w:rsidRPr="00535F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35F0A" w:rsidRPr="00535F0A">
        <w:rPr>
          <w:rFonts w:ascii="Times New Roman" w:hAnsi="Times New Roman" w:cs="Times New Roman"/>
          <w:sz w:val="28"/>
          <w:szCs w:val="28"/>
        </w:rPr>
        <w:t>.</w:t>
      </w:r>
      <w:r w:rsidR="00161C48">
        <w:rPr>
          <w:rFonts w:ascii="Times New Roman" w:hAnsi="Times New Roman"/>
          <w:sz w:val="28"/>
          <w:szCs w:val="28"/>
        </w:rPr>
        <w:t xml:space="preserve"> </w:t>
      </w:r>
      <w:r w:rsidR="00535F0A" w:rsidRPr="00535F0A">
        <w:rPr>
          <w:rFonts w:ascii="Times New Roman" w:hAnsi="Times New Roman" w:cs="Times New Roman"/>
          <w:sz w:val="28"/>
          <w:szCs w:val="28"/>
          <w:lang w:val="en-US"/>
        </w:rPr>
        <w:t>Marxkors</w:t>
      </w:r>
      <w:r w:rsidR="00535F0A" w:rsidRPr="00535F0A">
        <w:rPr>
          <w:rFonts w:ascii="Times New Roman" w:hAnsi="Times New Roman" w:cs="Times New Roman"/>
          <w:sz w:val="28"/>
          <w:szCs w:val="28"/>
        </w:rPr>
        <w:t xml:space="preserve">, </w:t>
      </w:r>
      <w:r w:rsidR="00535F0A" w:rsidRPr="00535F0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35F0A" w:rsidRPr="00535F0A">
        <w:rPr>
          <w:rFonts w:ascii="Times New Roman" w:hAnsi="Times New Roman" w:cs="Times New Roman"/>
          <w:sz w:val="28"/>
          <w:szCs w:val="28"/>
        </w:rPr>
        <w:t xml:space="preserve">. </w:t>
      </w:r>
      <w:r w:rsidR="00535F0A" w:rsidRPr="00535F0A">
        <w:rPr>
          <w:rFonts w:ascii="Times New Roman" w:hAnsi="Times New Roman" w:cs="Times New Roman"/>
          <w:sz w:val="28"/>
          <w:szCs w:val="28"/>
          <w:lang w:val="en-US"/>
        </w:rPr>
        <w:t>Marxkors</w:t>
      </w:r>
      <w:r w:rsidR="00535F0A" w:rsidRPr="00535F0A">
        <w:rPr>
          <w:rFonts w:ascii="Times New Roman" w:hAnsi="Times New Roman" w:cs="Times New Roman"/>
          <w:sz w:val="28"/>
          <w:szCs w:val="28"/>
        </w:rPr>
        <w:t xml:space="preserve">, </w:t>
      </w:r>
      <w:r w:rsidR="00535F0A" w:rsidRPr="00535F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5F0A" w:rsidRPr="00535F0A">
        <w:rPr>
          <w:rFonts w:ascii="Times New Roman" w:hAnsi="Times New Roman" w:cs="Times New Roman"/>
          <w:sz w:val="28"/>
          <w:szCs w:val="28"/>
        </w:rPr>
        <w:t>.</w:t>
      </w:r>
      <w:r w:rsidR="00535F0A">
        <w:rPr>
          <w:rFonts w:ascii="Times New Roman" w:hAnsi="Times New Roman" w:cs="Times New Roman"/>
          <w:sz w:val="28"/>
          <w:szCs w:val="28"/>
        </w:rPr>
        <w:t xml:space="preserve"> </w:t>
      </w:r>
      <w:r w:rsidR="00535F0A" w:rsidRPr="00535F0A">
        <w:rPr>
          <w:rFonts w:ascii="Times New Roman" w:hAnsi="Times New Roman" w:cs="Times New Roman"/>
          <w:sz w:val="28"/>
          <w:szCs w:val="28"/>
          <w:lang w:val="en-US"/>
        </w:rPr>
        <w:t>Neumeyer</w:t>
      </w:r>
      <w:r w:rsidR="00535F0A" w:rsidRPr="00535F0A">
        <w:rPr>
          <w:rFonts w:ascii="Times New Roman" w:hAnsi="Times New Roman" w:cs="Times New Roman"/>
          <w:sz w:val="28"/>
          <w:szCs w:val="28"/>
        </w:rPr>
        <w:t xml:space="preserve"> </w:t>
      </w:r>
      <w:r w:rsidRPr="005C2DB0">
        <w:rPr>
          <w:rFonts w:ascii="Times New Roman" w:hAnsi="Times New Roman"/>
          <w:sz w:val="28"/>
          <w:szCs w:val="28"/>
        </w:rPr>
        <w:t xml:space="preserve">(2004), </w:t>
      </w:r>
      <w:r w:rsidR="00161C48" w:rsidRPr="00E85657">
        <w:rPr>
          <w:rFonts w:ascii="Times New Roman" w:hAnsi="Times New Roman" w:cs="Times New Roman"/>
          <w:sz w:val="28"/>
          <w:szCs w:val="28"/>
        </w:rPr>
        <w:t>П.А. Колед</w:t>
      </w:r>
      <w:r w:rsidR="00161C48">
        <w:rPr>
          <w:rFonts w:ascii="Times New Roman" w:hAnsi="Times New Roman" w:cs="Times New Roman"/>
          <w:sz w:val="28"/>
          <w:szCs w:val="28"/>
        </w:rPr>
        <w:t>ы</w:t>
      </w:r>
      <w:r w:rsidR="00161C48" w:rsidRPr="00E85657">
        <w:rPr>
          <w:rFonts w:ascii="Times New Roman" w:hAnsi="Times New Roman" w:cs="Times New Roman"/>
          <w:sz w:val="28"/>
          <w:szCs w:val="28"/>
        </w:rPr>
        <w:t>, С.Е. Жолудев</w:t>
      </w:r>
      <w:r w:rsidR="00161C48">
        <w:rPr>
          <w:rFonts w:ascii="Times New Roman" w:hAnsi="Times New Roman" w:cs="Times New Roman"/>
          <w:sz w:val="28"/>
          <w:szCs w:val="28"/>
        </w:rPr>
        <w:t>а</w:t>
      </w:r>
      <w:r w:rsidR="00161C48" w:rsidRPr="00E85657">
        <w:rPr>
          <w:rFonts w:ascii="Times New Roman" w:hAnsi="Times New Roman" w:cs="Times New Roman"/>
          <w:sz w:val="28"/>
          <w:szCs w:val="28"/>
        </w:rPr>
        <w:t>, И.Н. Кандоб</w:t>
      </w:r>
      <w:r w:rsidR="00161C48">
        <w:rPr>
          <w:rFonts w:ascii="Times New Roman" w:hAnsi="Times New Roman" w:cs="Times New Roman"/>
          <w:sz w:val="28"/>
          <w:szCs w:val="28"/>
        </w:rPr>
        <w:t>ы</w:t>
      </w:r>
      <w:r w:rsidR="00161C48" w:rsidRPr="00E85657">
        <w:rPr>
          <w:rFonts w:ascii="Times New Roman" w:hAnsi="Times New Roman" w:cs="Times New Roman"/>
          <w:sz w:val="28"/>
          <w:szCs w:val="28"/>
        </w:rPr>
        <w:t xml:space="preserve"> (2007) </w:t>
      </w:r>
      <w:r w:rsidRPr="005C2DB0">
        <w:rPr>
          <w:rFonts w:ascii="Times New Roman" w:hAnsi="Times New Roman"/>
          <w:sz w:val="28"/>
          <w:szCs w:val="28"/>
        </w:rPr>
        <w:t xml:space="preserve">следует обратить особое внимание на адекватность методов замещения дефектов твердых тканей зубов, так как неправильная методика при восстановлении коронковой части приводит к </w:t>
      </w:r>
      <w:r>
        <w:rPr>
          <w:rFonts w:ascii="Times New Roman" w:hAnsi="Times New Roman"/>
          <w:sz w:val="28"/>
          <w:szCs w:val="28"/>
        </w:rPr>
        <w:t xml:space="preserve">значительной </w:t>
      </w:r>
      <w:r w:rsidRPr="005C2DB0">
        <w:rPr>
          <w:rFonts w:ascii="Times New Roman" w:hAnsi="Times New Roman"/>
          <w:sz w:val="28"/>
          <w:szCs w:val="28"/>
        </w:rPr>
        <w:t>потере качественно эндодонтически вылеченных зубов</w:t>
      </w:r>
      <w:r>
        <w:rPr>
          <w:rFonts w:ascii="Times New Roman" w:hAnsi="Times New Roman"/>
          <w:sz w:val="28"/>
          <w:szCs w:val="28"/>
        </w:rPr>
        <w:t xml:space="preserve"> в отдаленные сроки</w:t>
      </w:r>
      <w:r w:rsidRPr="005C2DB0">
        <w:rPr>
          <w:rFonts w:ascii="Times New Roman" w:hAnsi="Times New Roman"/>
          <w:sz w:val="28"/>
          <w:szCs w:val="28"/>
        </w:rPr>
        <w:t>.</w:t>
      </w:r>
    </w:p>
    <w:p w:rsidR="007E6C1C" w:rsidRDefault="00E85657" w:rsidP="007E6C1C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57">
        <w:rPr>
          <w:rFonts w:ascii="Times New Roman" w:hAnsi="Times New Roman" w:cs="Times New Roman"/>
          <w:b/>
          <w:sz w:val="28"/>
          <w:szCs w:val="28"/>
        </w:rPr>
        <w:t>Цель исследования.</w:t>
      </w:r>
    </w:p>
    <w:p w:rsidR="00E85657" w:rsidRPr="00E85657" w:rsidRDefault="00E85657" w:rsidP="00AA1B1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 xml:space="preserve">Улучшение результатов ортопедического лечения пациентов несъемными протезами путем совершенствования методов подготовки опорных зубов. </w:t>
      </w:r>
    </w:p>
    <w:p w:rsidR="00E85657" w:rsidRPr="00E85657" w:rsidRDefault="00E85657" w:rsidP="007E6C1C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57">
        <w:rPr>
          <w:rFonts w:ascii="Times New Roman" w:hAnsi="Times New Roman" w:cs="Times New Roman"/>
          <w:b/>
          <w:sz w:val="28"/>
          <w:szCs w:val="28"/>
        </w:rPr>
        <w:lastRenderedPageBreak/>
        <w:t>Задачи исследования.</w:t>
      </w:r>
    </w:p>
    <w:p w:rsidR="00E85657" w:rsidRPr="00E85657" w:rsidRDefault="00E85657" w:rsidP="00AA1B1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Изучить частоту применения различных методов эндодонтической подготовки зубов, являющихся в том числе опорными для ортопедических конструкций, в различных стоматологических учреждениях.</w:t>
      </w:r>
    </w:p>
    <w:p w:rsidR="00E85657" w:rsidRPr="00E85657" w:rsidRDefault="00E85657" w:rsidP="00AA1B1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Исследовать микротвердость дентина депульпированных зубов в зависимости от методов обтурации корневых каналов и сравнить с ее показателем для дентина интактных зубов.</w:t>
      </w:r>
    </w:p>
    <w:p w:rsidR="00E85657" w:rsidRPr="00E85657" w:rsidRDefault="00E85657" w:rsidP="00AA1B1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В лабораторном исследовании определить герметичность закрытия дентинных канальцев при использовании поверхностного герметика.</w:t>
      </w:r>
    </w:p>
    <w:p w:rsidR="00E85657" w:rsidRPr="00E85657" w:rsidRDefault="00E85657" w:rsidP="00AA1B1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Исследовать методом конечно-элементного анализа напряженно-деформированное состояние системы «</w:t>
      </w:r>
      <w:r w:rsidRPr="00E85657">
        <w:rPr>
          <w:rFonts w:ascii="Times New Roman" w:hAnsi="Times New Roman" w:cs="Times New Roman"/>
          <w:i/>
          <w:sz w:val="28"/>
          <w:szCs w:val="28"/>
        </w:rPr>
        <w:t>однокорневой</w:t>
      </w:r>
      <w:r w:rsidRPr="00E85657">
        <w:rPr>
          <w:rFonts w:ascii="Times New Roman" w:hAnsi="Times New Roman" w:cs="Times New Roman"/>
          <w:sz w:val="28"/>
          <w:szCs w:val="28"/>
        </w:rPr>
        <w:t xml:space="preserve"> </w:t>
      </w:r>
      <w:r w:rsidRPr="00E85657">
        <w:rPr>
          <w:rFonts w:ascii="Times New Roman" w:hAnsi="Times New Roman" w:cs="Times New Roman"/>
          <w:i/>
          <w:sz w:val="28"/>
          <w:szCs w:val="28"/>
        </w:rPr>
        <w:t>депульпированный зуб - штифтовая культевая вкладка - литая коронка»</w:t>
      </w:r>
      <w:r w:rsidRPr="00E85657">
        <w:rPr>
          <w:rFonts w:ascii="Times New Roman" w:hAnsi="Times New Roman" w:cs="Times New Roman"/>
          <w:sz w:val="28"/>
          <w:szCs w:val="28"/>
        </w:rPr>
        <w:t xml:space="preserve"> при различных вариантах препарирования культи.</w:t>
      </w:r>
    </w:p>
    <w:p w:rsidR="00E85657" w:rsidRPr="00E85657" w:rsidRDefault="00E85657" w:rsidP="00AA1B1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На основании лабораторных исследований предложить методику подготовки эндодонтически леченных зубов при изготовлении несъемных протезов и сравнить е</w:t>
      </w:r>
      <w:r w:rsidR="00FC2CF8">
        <w:rPr>
          <w:rFonts w:ascii="Times New Roman" w:hAnsi="Times New Roman" w:cs="Times New Roman"/>
          <w:sz w:val="28"/>
          <w:szCs w:val="28"/>
        </w:rPr>
        <w:t>е</w:t>
      </w:r>
      <w:r w:rsidRPr="00E85657">
        <w:rPr>
          <w:rFonts w:ascii="Times New Roman" w:hAnsi="Times New Roman" w:cs="Times New Roman"/>
          <w:sz w:val="28"/>
          <w:szCs w:val="28"/>
        </w:rPr>
        <w:t xml:space="preserve"> с традиционн</w:t>
      </w:r>
      <w:r w:rsidR="00FC2CF8">
        <w:rPr>
          <w:rFonts w:ascii="Times New Roman" w:hAnsi="Times New Roman" w:cs="Times New Roman"/>
          <w:sz w:val="28"/>
          <w:szCs w:val="28"/>
        </w:rPr>
        <w:t>ой</w:t>
      </w:r>
      <w:r w:rsidRPr="00E85657">
        <w:rPr>
          <w:rFonts w:ascii="Times New Roman" w:hAnsi="Times New Roman" w:cs="Times New Roman"/>
          <w:sz w:val="28"/>
          <w:szCs w:val="28"/>
        </w:rPr>
        <w:t xml:space="preserve"> в клиническом исследовании.</w:t>
      </w:r>
    </w:p>
    <w:p w:rsidR="00E85657" w:rsidRPr="00E85657" w:rsidRDefault="00E85657" w:rsidP="007E6C1C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57">
        <w:rPr>
          <w:rFonts w:ascii="Times New Roman" w:hAnsi="Times New Roman" w:cs="Times New Roman"/>
          <w:b/>
          <w:sz w:val="28"/>
          <w:szCs w:val="28"/>
        </w:rPr>
        <w:t>Научная новизна исследования.</w:t>
      </w:r>
    </w:p>
    <w:p w:rsidR="00E85657" w:rsidRPr="00E85657" w:rsidRDefault="00E85657" w:rsidP="007E6C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Впервые проведено исследование микротвердости дентина зуб</w:t>
      </w:r>
      <w:r w:rsidR="00FC2CF8">
        <w:rPr>
          <w:rFonts w:ascii="Times New Roman" w:hAnsi="Times New Roman" w:cs="Times New Roman"/>
          <w:sz w:val="28"/>
          <w:szCs w:val="28"/>
        </w:rPr>
        <w:t>ов</w:t>
      </w:r>
      <w:r w:rsidRPr="00E85657">
        <w:rPr>
          <w:rFonts w:ascii="Times New Roman" w:hAnsi="Times New Roman" w:cs="Times New Roman"/>
          <w:sz w:val="28"/>
          <w:szCs w:val="28"/>
        </w:rPr>
        <w:t xml:space="preserve"> при различных методах обтурации корневых каналов.</w:t>
      </w:r>
    </w:p>
    <w:p w:rsidR="00E85657" w:rsidRPr="00E85657" w:rsidRDefault="00E85657" w:rsidP="007E6C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Впервые для расчета прочности системы депульпированный зуб – штифтовая культевая вкладка – литая коронка при различном наклоне опорных зубов применен метод компьютерного моделирования с конечно-элементным анализом напряженно-деформированного состояния.</w:t>
      </w:r>
    </w:p>
    <w:p w:rsidR="00E85657" w:rsidRPr="00E85657" w:rsidRDefault="00E85657" w:rsidP="007E6C1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В ходе комплексного изучения предложена и обоснована  методика подготовки депульпированных зубов к протезированию с применением поверхностного герметика для покрытия стенок корневых каналов и полости зуба.</w:t>
      </w:r>
    </w:p>
    <w:p w:rsidR="00E85657" w:rsidRPr="00E85657" w:rsidRDefault="00E85657" w:rsidP="007E6C1C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57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E85657" w:rsidRPr="00E85657" w:rsidRDefault="00E85657" w:rsidP="00AA1B1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657">
        <w:rPr>
          <w:rFonts w:ascii="Times New Roman" w:hAnsi="Times New Roman" w:cs="Times New Roman"/>
          <w:sz w:val="28"/>
          <w:szCs w:val="28"/>
        </w:rPr>
        <w:t>Результаты проведенных исследований доказывают эффективность и позволяют рекомендовать методику подготовки опорных зубов к протезированию. Данная методика, включающая научно обоснованные рекомендации по применению поверхностного герметика для обработки дентина стенок корневого канала и полости зуба,  препарированию твердых тканей при изготовлении штифтовых и покрывных конструкций, позволяет повысить эффективность ортопедического лечения и снизить количество возможных ошибок и осложнений.</w:t>
      </w:r>
    </w:p>
    <w:p w:rsidR="00E85657" w:rsidRPr="00E85657" w:rsidRDefault="00E85657" w:rsidP="00AA1B14">
      <w:pPr>
        <w:tabs>
          <w:tab w:val="left" w:pos="993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57">
        <w:rPr>
          <w:rFonts w:ascii="Times New Roman" w:hAnsi="Times New Roman" w:cs="Times New Roman"/>
          <w:b/>
          <w:sz w:val="28"/>
          <w:szCs w:val="28"/>
        </w:rPr>
        <w:t>Положения, выносимые на защиту:</w:t>
      </w:r>
    </w:p>
    <w:p w:rsidR="00E85657" w:rsidRPr="00E85657" w:rsidRDefault="00E85657" w:rsidP="00AA1B14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E85657">
        <w:rPr>
          <w:sz w:val="28"/>
          <w:szCs w:val="28"/>
        </w:rPr>
        <w:t>Депульпация зубов приводит к уменьшению микротвердости дентина, причем степень снижения его микротвердости зависит от метода пломбирования корневых каналов.</w:t>
      </w:r>
    </w:p>
    <w:p w:rsidR="00E85657" w:rsidRPr="00E85657" w:rsidRDefault="00E85657" w:rsidP="00AA1B14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E85657">
        <w:rPr>
          <w:sz w:val="28"/>
          <w:szCs w:val="28"/>
        </w:rPr>
        <w:t xml:space="preserve">Предельная прочность системы «зуб-штифтовая культевая вкладка-литая коронка» зависит от степени разрушения твердых тканей, угла наклона  </w:t>
      </w:r>
      <w:r w:rsidRPr="00E85657">
        <w:rPr>
          <w:sz w:val="28"/>
          <w:szCs w:val="28"/>
        </w:rPr>
        <w:lastRenderedPageBreak/>
        <w:t>опорного зуба в вестибулооральном или мезиодистальном направлениях,  метода формирования культи.</w:t>
      </w:r>
    </w:p>
    <w:p w:rsidR="00E85657" w:rsidRPr="00E85657" w:rsidRDefault="00E85657" w:rsidP="00AA1B14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E85657">
        <w:rPr>
          <w:sz w:val="28"/>
          <w:szCs w:val="28"/>
        </w:rPr>
        <w:t>Разработанная методика подготовки депульпированных зубов с последующим их покрытием восстановительными коронками или использованием в качестве опорных при замещении зубных рядов, включающ</w:t>
      </w:r>
      <w:r w:rsidR="00FC2CF8">
        <w:rPr>
          <w:sz w:val="28"/>
          <w:szCs w:val="28"/>
        </w:rPr>
        <w:t>ая</w:t>
      </w:r>
      <w:r w:rsidRPr="00E85657">
        <w:rPr>
          <w:sz w:val="28"/>
          <w:szCs w:val="28"/>
        </w:rPr>
        <w:t xml:space="preserve"> применение поверхностного герметика, формирование культи зуба с уступом в 135º и перекрытие границы «штифтовая культевая вкладка - ткани зуба» искусственной коронкой снижает риск возникновения осложнений.</w:t>
      </w:r>
    </w:p>
    <w:p w:rsidR="00535F0A" w:rsidRPr="00AA1B14" w:rsidRDefault="00535F0A" w:rsidP="00AA1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14">
        <w:rPr>
          <w:rFonts w:ascii="Times New Roman" w:hAnsi="Times New Roman" w:cs="Times New Roman"/>
          <w:b/>
          <w:sz w:val="28"/>
          <w:szCs w:val="28"/>
        </w:rPr>
        <w:t>В</w:t>
      </w:r>
      <w:r w:rsidR="00AA1B14">
        <w:rPr>
          <w:rFonts w:ascii="Times New Roman" w:hAnsi="Times New Roman" w:cs="Times New Roman"/>
          <w:b/>
          <w:sz w:val="28"/>
          <w:szCs w:val="28"/>
        </w:rPr>
        <w:t>недрение результатов в практику</w:t>
      </w:r>
    </w:p>
    <w:p w:rsidR="008E620D" w:rsidRDefault="00DE422E" w:rsidP="00AA1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подготовки опорных зубов для изготовления штифтовых конструкций с применением поверхностного герметика внедрена в повседневную практику ОГАУЗ «Смоленская областная клиническая стоматологическая поликлиника», ОГАУЗ «Вяземская городская стоматологическая поликлиника», ОГАУЗ «Рославльская городская стоматологическая поликлиника». Материалы диссертации внедрены в лекционный курс кафедры стоматологии ФПК и ППС ГБОУ ВПО «Смоленская государственная медицинск</w:t>
      </w:r>
      <w:r w:rsidR="003951C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C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1C5">
        <w:rPr>
          <w:rFonts w:ascii="Times New Roman" w:hAnsi="Times New Roman" w:cs="Times New Roman"/>
          <w:sz w:val="28"/>
          <w:szCs w:val="28"/>
        </w:rPr>
        <w:t xml:space="preserve"> Минзрава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20D" w:rsidRPr="00AA1B14" w:rsidRDefault="00AA1B14" w:rsidP="00AA1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Апробация работы</w:t>
      </w:r>
    </w:p>
    <w:p w:rsidR="002835D6" w:rsidRDefault="008E620D" w:rsidP="00AA1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работы были доложены и обсуждены на совещании кафедры ортопедической стоматологии с курсом ортодонтии Смоленской государственной медицинской академии</w:t>
      </w:r>
      <w:r w:rsidR="008626F4">
        <w:rPr>
          <w:rFonts w:ascii="Times New Roman" w:hAnsi="Times New Roman" w:cs="Times New Roman"/>
          <w:sz w:val="28"/>
          <w:szCs w:val="28"/>
        </w:rPr>
        <w:t xml:space="preserve"> </w:t>
      </w:r>
      <w:r w:rsidR="000E29D7">
        <w:rPr>
          <w:rFonts w:ascii="Times New Roman" w:hAnsi="Times New Roman" w:cs="Times New Roman"/>
          <w:sz w:val="28"/>
          <w:szCs w:val="28"/>
        </w:rPr>
        <w:t>12 февраля 2014 г.</w:t>
      </w:r>
      <w:r w:rsidR="008626F4">
        <w:rPr>
          <w:rFonts w:ascii="Times New Roman" w:hAnsi="Times New Roman" w:cs="Times New Roman"/>
          <w:sz w:val="28"/>
          <w:szCs w:val="28"/>
        </w:rPr>
        <w:t xml:space="preserve">, проблемной комиссией по стоматологии СГМА </w:t>
      </w:r>
      <w:r w:rsidR="00B008D0">
        <w:rPr>
          <w:rFonts w:ascii="Times New Roman" w:hAnsi="Times New Roman" w:cs="Times New Roman"/>
          <w:sz w:val="28"/>
          <w:szCs w:val="28"/>
        </w:rPr>
        <w:t>27 февраля 2014 г.</w:t>
      </w:r>
      <w:r w:rsidR="008626F4">
        <w:rPr>
          <w:rFonts w:ascii="Times New Roman" w:hAnsi="Times New Roman" w:cs="Times New Roman"/>
          <w:sz w:val="28"/>
          <w:szCs w:val="28"/>
        </w:rPr>
        <w:t>, на совместном заседании кафедр ортопедической стоматологии с курсом ортодонтии, терапевтической стоматологии, хирургической стоматологии и челюстно-лицевой хирургии, детской стоматологии, пропедевтической стоматологии, стоматологии факультета повышения квалификации и профессиональной переподготовки специалистов Смоленской государ</w:t>
      </w:r>
      <w:r w:rsidR="000E29D7">
        <w:rPr>
          <w:rFonts w:ascii="Times New Roman" w:hAnsi="Times New Roman" w:cs="Times New Roman"/>
          <w:sz w:val="28"/>
          <w:szCs w:val="28"/>
        </w:rPr>
        <w:t>-</w:t>
      </w:r>
      <w:r w:rsidR="008626F4">
        <w:rPr>
          <w:rFonts w:ascii="Times New Roman" w:hAnsi="Times New Roman" w:cs="Times New Roman"/>
          <w:sz w:val="28"/>
          <w:szCs w:val="28"/>
        </w:rPr>
        <w:t>ственной медицинской академии 15 октября 2014 г.</w:t>
      </w:r>
      <w:r w:rsidR="002835D6">
        <w:rPr>
          <w:rFonts w:ascii="Times New Roman" w:hAnsi="Times New Roman" w:cs="Times New Roman"/>
          <w:sz w:val="28"/>
          <w:szCs w:val="28"/>
        </w:rPr>
        <w:t xml:space="preserve">, на заседании </w:t>
      </w:r>
      <w:r w:rsidR="000E29D7">
        <w:rPr>
          <w:rFonts w:ascii="Times New Roman" w:hAnsi="Times New Roman" w:cs="Times New Roman"/>
          <w:sz w:val="28"/>
          <w:szCs w:val="28"/>
        </w:rPr>
        <w:t>реги-</w:t>
      </w:r>
      <w:r w:rsidR="002835D6">
        <w:rPr>
          <w:rFonts w:ascii="Times New Roman" w:hAnsi="Times New Roman" w:cs="Times New Roman"/>
          <w:sz w:val="28"/>
          <w:szCs w:val="28"/>
        </w:rPr>
        <w:t>ональной ассоциации стоматологов Смоленской области 26 февраля 2015 г.</w:t>
      </w:r>
    </w:p>
    <w:p w:rsidR="002835D6" w:rsidRPr="00AA1B14" w:rsidRDefault="002835D6" w:rsidP="00AA1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14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2835D6" w:rsidRDefault="002835D6" w:rsidP="00AA1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диссертации опубликовано </w:t>
      </w:r>
      <w:r w:rsidR="003951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печатных работ, в том числе </w:t>
      </w:r>
      <w:r w:rsidR="003951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в изданиях, рекомендованных ВАК, в которых достаточно полно отражены результаты диссертационного исследования.</w:t>
      </w:r>
    </w:p>
    <w:p w:rsidR="002835D6" w:rsidRPr="00AA1B14" w:rsidRDefault="002835D6" w:rsidP="00AA1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14">
        <w:rPr>
          <w:rFonts w:ascii="Times New Roman" w:hAnsi="Times New Roman" w:cs="Times New Roman"/>
          <w:b/>
          <w:sz w:val="28"/>
          <w:szCs w:val="28"/>
        </w:rPr>
        <w:t>Структура и объем диссертации</w:t>
      </w:r>
    </w:p>
    <w:p w:rsidR="00D9094E" w:rsidRDefault="002835D6" w:rsidP="00AA1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состоит из оглавления, введения, четырех глав, выводов, практических рекомендаций и списка используемой литературы, включающего 110 отечественных и 88 иностранных источника, иллюстрирована </w:t>
      </w:r>
      <w:r w:rsidR="00D9094E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D9094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11 диаграммами и 4</w:t>
      </w:r>
      <w:r w:rsidR="003951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рисунками</w:t>
      </w:r>
      <w:r w:rsidR="00D9094E">
        <w:rPr>
          <w:rFonts w:ascii="Times New Roman" w:hAnsi="Times New Roman" w:cs="Times New Roman"/>
          <w:sz w:val="28"/>
          <w:szCs w:val="28"/>
        </w:rPr>
        <w:t>.</w:t>
      </w:r>
    </w:p>
    <w:p w:rsidR="005A0A26" w:rsidRDefault="005A0A26" w:rsidP="00AA1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4E" w:rsidRPr="00AA1B14" w:rsidRDefault="00D9094E" w:rsidP="00AA1B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14">
        <w:rPr>
          <w:rFonts w:ascii="Times New Roman" w:hAnsi="Times New Roman" w:cs="Times New Roman"/>
          <w:b/>
          <w:sz w:val="28"/>
          <w:szCs w:val="28"/>
        </w:rPr>
        <w:lastRenderedPageBreak/>
        <w:t>Личное участие</w:t>
      </w:r>
    </w:p>
    <w:p w:rsidR="00AA1B14" w:rsidRDefault="00D9094E" w:rsidP="00AA1B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участие соискателя в получении результатов, изложенных в диссертации, определено: изучением медицинской документации, </w:t>
      </w:r>
      <w:r w:rsidR="00834E2E">
        <w:rPr>
          <w:rFonts w:ascii="Times New Roman" w:hAnsi="Times New Roman" w:cs="Times New Roman"/>
          <w:sz w:val="28"/>
          <w:szCs w:val="28"/>
        </w:rPr>
        <w:t>набором материала и проведением лабораторных исследований. В рамках клинического исследования самостоятельно проведено обследование, ортопедическое лечение и диспансерный учет 100 пациентов основной и контрольной групп. Доля участия в получении информации – более 90%, в обобщении и анализе – 100%. Полученные в ходе исследования данные были подвергнуты статистической обработке и представлены на бумажных и электронных носителях информации.</w:t>
      </w:r>
    </w:p>
    <w:p w:rsidR="00AA1B14" w:rsidRPr="00AA1B14" w:rsidRDefault="00AA1B14" w:rsidP="00C47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14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DB7C31" w:rsidRDefault="00AA1B14" w:rsidP="00C474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</w:t>
      </w:r>
    </w:p>
    <w:p w:rsidR="00DB7C31" w:rsidRPr="00DB7C31" w:rsidRDefault="00DB7C31" w:rsidP="00260E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DB7C31">
        <w:rPr>
          <w:rFonts w:ascii="Times New Roman" w:hAnsi="Times New Roman" w:cs="Times New Roman"/>
          <w:iCs/>
          <w:sz w:val="28"/>
          <w:szCs w:val="28"/>
        </w:rPr>
        <w:t>Для определения частоты применения различных методов эндодонтического лечения проведено изучение медицинской документации: 704 медицинские карты стоматологических больных (форма 043/У), 2 журнала учета работы врачей стоматолога-терапевта (форма 037/У-88) в медицинских учреждениях различных форм собственности (ОГАУЗ Смоленская областная клиническая стоматологическая поликлиника, частный стоматологический кабинет ООО «Ваш стоматолог»). При этом учитывались причины эндодонтических вмешательств, в том числе и депульпация по ортопедическим показаниям, пол и возраст</w:t>
      </w:r>
      <w:r w:rsidR="005A0A26" w:rsidRPr="005A0A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0A26" w:rsidRPr="00DB7C31">
        <w:rPr>
          <w:rFonts w:ascii="Times New Roman" w:hAnsi="Times New Roman" w:cs="Times New Roman"/>
          <w:iCs/>
          <w:sz w:val="28"/>
          <w:szCs w:val="28"/>
        </w:rPr>
        <w:t>пациентов</w:t>
      </w:r>
      <w:r w:rsidRPr="00DB7C31">
        <w:rPr>
          <w:rFonts w:ascii="Times New Roman" w:hAnsi="Times New Roman" w:cs="Times New Roman"/>
          <w:iCs/>
          <w:sz w:val="28"/>
          <w:szCs w:val="28"/>
        </w:rPr>
        <w:t>, а также метод пломбирования корневых каналов. Для оценки отдаленных результатов лечения различными эндодонтическ</w:t>
      </w:r>
      <w:r w:rsidR="005A0A26">
        <w:rPr>
          <w:rFonts w:ascii="Times New Roman" w:hAnsi="Times New Roman" w:cs="Times New Roman"/>
          <w:iCs/>
          <w:sz w:val="28"/>
          <w:szCs w:val="28"/>
        </w:rPr>
        <w:t>ими</w:t>
      </w:r>
      <w:r w:rsidRPr="00DB7C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0A26" w:rsidRPr="00DB7C31">
        <w:rPr>
          <w:rFonts w:ascii="Times New Roman" w:hAnsi="Times New Roman" w:cs="Times New Roman"/>
          <w:iCs/>
          <w:sz w:val="28"/>
          <w:szCs w:val="28"/>
        </w:rPr>
        <w:t xml:space="preserve">методами </w:t>
      </w:r>
      <w:r w:rsidRPr="00DB7C31">
        <w:rPr>
          <w:rFonts w:ascii="Times New Roman" w:hAnsi="Times New Roman" w:cs="Times New Roman"/>
          <w:iCs/>
          <w:sz w:val="28"/>
          <w:szCs w:val="28"/>
        </w:rPr>
        <w:t xml:space="preserve">проведен ретроспективный анализ 500 медицинских карт. При этом учитывали показания к различным методам эндодонтического лечения зубов, </w:t>
      </w:r>
      <w:r w:rsidR="005A0A26">
        <w:rPr>
          <w:rFonts w:ascii="Times New Roman" w:hAnsi="Times New Roman" w:cs="Times New Roman"/>
          <w:iCs/>
          <w:sz w:val="28"/>
          <w:szCs w:val="28"/>
        </w:rPr>
        <w:t>способ</w:t>
      </w:r>
      <w:r w:rsidRPr="00DB7C31">
        <w:rPr>
          <w:rFonts w:ascii="Times New Roman" w:hAnsi="Times New Roman" w:cs="Times New Roman"/>
          <w:iCs/>
          <w:sz w:val="28"/>
          <w:szCs w:val="28"/>
        </w:rPr>
        <w:t xml:space="preserve"> пломбирования каналов, возникшие осложнения. </w:t>
      </w:r>
    </w:p>
    <w:p w:rsidR="00DB7C31" w:rsidRPr="00DB7C31" w:rsidRDefault="00DB7C31" w:rsidP="0026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 xml:space="preserve">Для </w:t>
      </w:r>
      <w:r w:rsidR="00C474C7">
        <w:rPr>
          <w:rFonts w:ascii="Times New Roman" w:hAnsi="Times New Roman" w:cs="Times New Roman"/>
          <w:sz w:val="28"/>
          <w:szCs w:val="28"/>
        </w:rPr>
        <w:t xml:space="preserve">лабораторного </w:t>
      </w:r>
      <w:r w:rsidRPr="00DB7C31">
        <w:rPr>
          <w:rFonts w:ascii="Times New Roman" w:hAnsi="Times New Roman" w:cs="Times New Roman"/>
          <w:sz w:val="28"/>
          <w:szCs w:val="28"/>
        </w:rPr>
        <w:t>исследования</w:t>
      </w:r>
      <w:r w:rsidR="00C474C7">
        <w:rPr>
          <w:rFonts w:ascii="Times New Roman" w:hAnsi="Times New Roman" w:cs="Times New Roman"/>
          <w:sz w:val="28"/>
          <w:szCs w:val="28"/>
        </w:rPr>
        <w:t xml:space="preserve"> микротвердости дентина </w:t>
      </w:r>
      <w:r w:rsidRPr="00DB7C31">
        <w:rPr>
          <w:rFonts w:ascii="Times New Roman" w:hAnsi="Times New Roman" w:cs="Times New Roman"/>
          <w:sz w:val="28"/>
          <w:szCs w:val="28"/>
        </w:rPr>
        <w:t>выделили 2 группы удаленных по медицинским показаниям депульпированных зубов.</w:t>
      </w:r>
      <w:r w:rsidR="00C474C7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>В основную группу включили свежеудаленные зубы по поводу осложнений кариеса (90), корневые каналы которых были запломбированы цинк-оксид-эвгенольной пастой (30), резорцин-формалиновой пастой (30), гуттаперчевыми штифтами методом латеральной конденсации (30). Группу сравнения (контрольную) составили интактные зубы, удаленные по ортодонтическим показаниям (30).</w:t>
      </w:r>
    </w:p>
    <w:p w:rsidR="00DB7C31" w:rsidRPr="00DB7C31" w:rsidRDefault="00DB7C31" w:rsidP="00260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 xml:space="preserve">Твердость тканей зуба определяли при помощи микротвердомера ПМТ-3 по </w:t>
      </w:r>
      <w:r w:rsidRPr="00DB7C31">
        <w:rPr>
          <w:rFonts w:ascii="Times New Roman" w:hAnsi="Times New Roman" w:cs="Times New Roman"/>
          <w:color w:val="000000"/>
          <w:sz w:val="28"/>
          <w:szCs w:val="28"/>
        </w:rPr>
        <w:t xml:space="preserve">методике Виккерса в модификации С.М.Ремизова (1965, 2001). </w:t>
      </w:r>
      <w:r w:rsidR="00C474C7" w:rsidRPr="00DB7C31">
        <w:rPr>
          <w:rFonts w:ascii="Times New Roman" w:hAnsi="Times New Roman" w:cs="Times New Roman"/>
          <w:sz w:val="28"/>
          <w:szCs w:val="28"/>
        </w:rPr>
        <w:t xml:space="preserve">После изготовления шлифов </w:t>
      </w:r>
      <w:r w:rsidR="00C474C7">
        <w:rPr>
          <w:rFonts w:ascii="Times New Roman" w:hAnsi="Times New Roman" w:cs="Times New Roman"/>
          <w:sz w:val="28"/>
          <w:szCs w:val="28"/>
        </w:rPr>
        <w:t xml:space="preserve">зубов </w:t>
      </w:r>
      <w:r w:rsidR="00C474C7" w:rsidRPr="00DB7C31">
        <w:rPr>
          <w:rFonts w:ascii="Times New Roman" w:hAnsi="Times New Roman" w:cs="Times New Roman"/>
          <w:sz w:val="28"/>
          <w:szCs w:val="28"/>
        </w:rPr>
        <w:t>их фиксировали на предметном стекле</w:t>
      </w:r>
      <w:r w:rsidR="00C474C7">
        <w:rPr>
          <w:rFonts w:ascii="Times New Roman" w:hAnsi="Times New Roman" w:cs="Times New Roman"/>
          <w:sz w:val="28"/>
          <w:szCs w:val="28"/>
        </w:rPr>
        <w:t>, и н</w:t>
      </w:r>
      <w:r w:rsidRPr="00DB7C31">
        <w:rPr>
          <w:rFonts w:ascii="Times New Roman" w:hAnsi="Times New Roman" w:cs="Times New Roman"/>
          <w:sz w:val="28"/>
          <w:szCs w:val="28"/>
        </w:rPr>
        <w:t>а каждый шлиф при помощи алмазной пирамидки наносили 40 отпечатков по 10 в каждой зоне дентина</w:t>
      </w:r>
      <w:r w:rsidR="00C474C7">
        <w:rPr>
          <w:rFonts w:ascii="Times New Roman" w:hAnsi="Times New Roman" w:cs="Times New Roman"/>
          <w:sz w:val="28"/>
          <w:szCs w:val="28"/>
        </w:rPr>
        <w:t>:</w:t>
      </w:r>
      <w:r w:rsidRPr="00DB7C31">
        <w:rPr>
          <w:rFonts w:ascii="Times New Roman" w:hAnsi="Times New Roman" w:cs="Times New Roman"/>
          <w:sz w:val="28"/>
          <w:szCs w:val="28"/>
        </w:rPr>
        <w:t xml:space="preserve"> в области коронки зуба, в пришеечной, средней трети корня и апикальной области. Каждый отпечаток наносили под нагрузкой 200 г и временем экспозиции нагрузки – 15 с.</w:t>
      </w:r>
    </w:p>
    <w:p w:rsidR="00DB7C31" w:rsidRPr="00DB7C31" w:rsidRDefault="00C474C7" w:rsidP="0026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измерения отпечатков рассчитывали микротвердость по формуле: </w:t>
      </w:r>
      <w:r w:rsidR="00260ED2" w:rsidRPr="00DB7C31">
        <w:rPr>
          <w:rFonts w:ascii="Times New Roman" w:hAnsi="Times New Roman" w:cs="Times New Roman"/>
          <w:color w:val="FFFFFF"/>
          <w:position w:val="-24"/>
          <w:sz w:val="28"/>
          <w:szCs w:val="28"/>
        </w:rPr>
        <w:object w:dxaOrig="2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0pt" o:ole="">
            <v:imagedata r:id="rId9" o:title=""/>
          </v:shape>
          <o:OLEObject Type="Embed" ProgID="Equation.3" ShapeID="_x0000_i1025" DrawAspect="Content" ObjectID="_1490446469" r:id="rId10"/>
        </w:object>
      </w:r>
      <w:r w:rsidRPr="00DB7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 xml:space="preserve">где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B7C31">
        <w:rPr>
          <w:rFonts w:ascii="Times New Roman" w:hAnsi="Times New Roman" w:cs="Times New Roman"/>
          <w:sz w:val="28"/>
          <w:szCs w:val="28"/>
        </w:rPr>
        <w:t xml:space="preserve"> – масса груза (кг),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7C31">
        <w:rPr>
          <w:rFonts w:ascii="Times New Roman" w:hAnsi="Times New Roman" w:cs="Times New Roman"/>
          <w:sz w:val="28"/>
          <w:szCs w:val="28"/>
        </w:rPr>
        <w:t xml:space="preserve"> – диагональ отпечатка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C31">
        <w:rPr>
          <w:rFonts w:ascii="Times New Roman" w:hAnsi="Times New Roman" w:cs="Times New Roman"/>
          <w:sz w:val="28"/>
          <w:szCs w:val="28"/>
        </w:rPr>
        <w:t xml:space="preserve"> </w:t>
      </w:r>
      <w:r w:rsidR="00DB7C31" w:rsidRPr="00DB7C31">
        <w:rPr>
          <w:rFonts w:ascii="Times New Roman" w:hAnsi="Times New Roman" w:cs="Times New Roman"/>
          <w:sz w:val="28"/>
          <w:szCs w:val="28"/>
        </w:rPr>
        <w:t xml:space="preserve">В качестве группы сравнения мы использовали данные микротвердости тканей интактных зубов, удаленных по ортодонтическим показаниям. </w:t>
      </w:r>
    </w:p>
    <w:p w:rsidR="00DB7C31" w:rsidRPr="00DB7C31" w:rsidRDefault="00C474C7" w:rsidP="002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4C7">
        <w:rPr>
          <w:rFonts w:ascii="Times New Roman" w:hAnsi="Times New Roman" w:cs="Times New Roman"/>
          <w:sz w:val="28"/>
          <w:szCs w:val="28"/>
        </w:rPr>
        <w:t>В л</w:t>
      </w:r>
      <w:r w:rsidR="00DB7C31" w:rsidRPr="00C474C7">
        <w:rPr>
          <w:rFonts w:ascii="Times New Roman" w:hAnsi="Times New Roman" w:cs="Times New Roman"/>
          <w:sz w:val="28"/>
          <w:szCs w:val="28"/>
        </w:rPr>
        <w:t>абораторно</w:t>
      </w:r>
      <w:r w:rsidRPr="00C474C7">
        <w:rPr>
          <w:rFonts w:ascii="Times New Roman" w:hAnsi="Times New Roman" w:cs="Times New Roman"/>
          <w:sz w:val="28"/>
          <w:szCs w:val="28"/>
        </w:rPr>
        <w:t>м</w:t>
      </w:r>
      <w:r w:rsidR="00DB7C31" w:rsidRPr="00C474C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C474C7">
        <w:rPr>
          <w:rFonts w:ascii="Times New Roman" w:hAnsi="Times New Roman" w:cs="Times New Roman"/>
          <w:sz w:val="28"/>
          <w:szCs w:val="28"/>
        </w:rPr>
        <w:t xml:space="preserve">и </w:t>
      </w:r>
      <w:r w:rsidR="005A0A26" w:rsidRPr="00C474C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A0A26" w:rsidRPr="00C474C7">
        <w:rPr>
          <w:rFonts w:ascii="Times New Roman" w:hAnsi="Times New Roman" w:cs="Times New Roman"/>
          <w:sz w:val="28"/>
          <w:szCs w:val="28"/>
        </w:rPr>
        <w:t xml:space="preserve"> </w:t>
      </w:r>
      <w:r w:rsidR="005A0A26" w:rsidRPr="00C474C7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5A0A26" w:rsidRPr="00C474C7">
        <w:rPr>
          <w:rFonts w:ascii="Times New Roman" w:hAnsi="Times New Roman" w:cs="Times New Roman"/>
          <w:sz w:val="28"/>
          <w:szCs w:val="28"/>
        </w:rPr>
        <w:t xml:space="preserve"> </w:t>
      </w:r>
      <w:r w:rsidRPr="00C474C7">
        <w:rPr>
          <w:rFonts w:ascii="Times New Roman" w:hAnsi="Times New Roman" w:cs="Times New Roman"/>
          <w:sz w:val="28"/>
          <w:szCs w:val="28"/>
        </w:rPr>
        <w:t>изучали</w:t>
      </w:r>
      <w:r w:rsidR="00DB7C31" w:rsidRPr="00C474C7">
        <w:rPr>
          <w:rFonts w:ascii="Times New Roman" w:hAnsi="Times New Roman" w:cs="Times New Roman"/>
          <w:sz w:val="28"/>
          <w:szCs w:val="28"/>
        </w:rPr>
        <w:t xml:space="preserve"> проникновени</w:t>
      </w:r>
      <w:r w:rsidR="005A0A26">
        <w:rPr>
          <w:rFonts w:ascii="Times New Roman" w:hAnsi="Times New Roman" w:cs="Times New Roman"/>
          <w:sz w:val="28"/>
          <w:szCs w:val="28"/>
        </w:rPr>
        <w:t>е</w:t>
      </w:r>
      <w:r w:rsidR="00DB7C31" w:rsidRPr="00C474C7">
        <w:rPr>
          <w:rFonts w:ascii="Times New Roman" w:hAnsi="Times New Roman" w:cs="Times New Roman"/>
          <w:sz w:val="28"/>
          <w:szCs w:val="28"/>
        </w:rPr>
        <w:t xml:space="preserve"> красителя в дентинные канальцы зубов после различных методов их подготовки под штифтовую конструкцию</w:t>
      </w:r>
      <w:r w:rsidRPr="00C47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C31" w:rsidRPr="00DB7C31">
        <w:rPr>
          <w:rFonts w:ascii="Times New Roman" w:hAnsi="Times New Roman" w:cs="Times New Roman"/>
          <w:sz w:val="28"/>
          <w:szCs w:val="28"/>
        </w:rPr>
        <w:t xml:space="preserve">При препарировании зуба под штифтовую литую культевую вкладку производят сошлифовывание дентина как в полости зуба, так и в корневых каналах.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7C31" w:rsidRPr="00DB7C31">
        <w:rPr>
          <w:rFonts w:ascii="Times New Roman" w:hAnsi="Times New Roman" w:cs="Times New Roman"/>
          <w:sz w:val="28"/>
          <w:szCs w:val="28"/>
        </w:rPr>
        <w:t xml:space="preserve">нутренняя поверхность дентина становится </w:t>
      </w:r>
      <w:r>
        <w:rPr>
          <w:rFonts w:ascii="Times New Roman" w:hAnsi="Times New Roman" w:cs="Times New Roman"/>
          <w:sz w:val="28"/>
          <w:szCs w:val="28"/>
        </w:rPr>
        <w:t xml:space="preserve">уязвимой для микробной инвазии. </w:t>
      </w:r>
      <w:r w:rsidR="00DB7C31" w:rsidRPr="00DB7C31">
        <w:rPr>
          <w:rFonts w:ascii="Times New Roman" w:hAnsi="Times New Roman" w:cs="Times New Roman"/>
          <w:sz w:val="28"/>
          <w:szCs w:val="28"/>
        </w:rPr>
        <w:t xml:space="preserve">Для обработки дентина после препарирования зуба под штифтовую конструкцию мы применили поверхностный герметик </w:t>
      </w:r>
      <w:r w:rsidR="00DB7C31" w:rsidRPr="00DB7C31">
        <w:rPr>
          <w:rFonts w:ascii="Times New Roman" w:hAnsi="Times New Roman" w:cs="Times New Roman"/>
          <w:sz w:val="28"/>
          <w:szCs w:val="28"/>
          <w:lang w:val="en-US"/>
        </w:rPr>
        <w:t>Seal</w:t>
      </w:r>
      <w:r w:rsidR="00DB7C31" w:rsidRPr="00DB7C31">
        <w:rPr>
          <w:rFonts w:ascii="Times New Roman" w:hAnsi="Times New Roman" w:cs="Times New Roman"/>
          <w:sz w:val="28"/>
          <w:szCs w:val="28"/>
        </w:rPr>
        <w:t>&amp;</w:t>
      </w:r>
      <w:r w:rsidR="00DB7C31" w:rsidRPr="00DB7C31">
        <w:rPr>
          <w:rFonts w:ascii="Times New Roman" w:hAnsi="Times New Roman" w:cs="Times New Roman"/>
          <w:sz w:val="28"/>
          <w:szCs w:val="28"/>
          <w:lang w:val="en-US"/>
        </w:rPr>
        <w:t>Protect</w:t>
      </w:r>
      <w:r w:rsidR="00DB7C31" w:rsidRPr="00DB7C31">
        <w:rPr>
          <w:rFonts w:ascii="Times New Roman" w:hAnsi="Times New Roman" w:cs="Times New Roman"/>
          <w:sz w:val="28"/>
          <w:szCs w:val="28"/>
        </w:rPr>
        <w:t xml:space="preserve"> (</w:t>
      </w:r>
      <w:r w:rsidR="00DB7C31" w:rsidRPr="00DB7C31">
        <w:rPr>
          <w:rFonts w:ascii="Times New Roman" w:hAnsi="Times New Roman" w:cs="Times New Roman"/>
          <w:sz w:val="28"/>
          <w:szCs w:val="28"/>
          <w:lang w:val="en-US"/>
        </w:rPr>
        <w:t>Dentsply</w:t>
      </w:r>
      <w:r w:rsidR="00DB7C31" w:rsidRPr="00DB7C31">
        <w:rPr>
          <w:rFonts w:ascii="Times New Roman" w:hAnsi="Times New Roman" w:cs="Times New Roman"/>
          <w:sz w:val="28"/>
          <w:szCs w:val="28"/>
        </w:rPr>
        <w:t xml:space="preserve">). Чтобы оценить эффективность закрытия дентинных канальцев стенок корневого канала и полости зуба выбраны парные зубы (резцы и премоляры верхней и нижней челюсти) с интактной пульпой, удаленные у одного пациента по ортодонтическим показаниям или по поводу заболеваний пародонта. </w:t>
      </w:r>
    </w:p>
    <w:p w:rsidR="00DB7C31" w:rsidRPr="00DB7C31" w:rsidRDefault="00DB7C31" w:rsidP="0026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>Для исследования герметичности закрытия дентинных канальцев выделены следующие группы:</w:t>
      </w:r>
      <w:r w:rsidR="00C474C7">
        <w:rPr>
          <w:rFonts w:ascii="Times New Roman" w:hAnsi="Times New Roman" w:cs="Times New Roman"/>
          <w:sz w:val="28"/>
          <w:szCs w:val="28"/>
        </w:rPr>
        <w:t xml:space="preserve"> о</w:t>
      </w:r>
      <w:r w:rsidRPr="00DB7C31">
        <w:rPr>
          <w:rFonts w:ascii="Times New Roman" w:hAnsi="Times New Roman" w:cs="Times New Roman"/>
          <w:sz w:val="28"/>
          <w:szCs w:val="28"/>
        </w:rPr>
        <w:t xml:space="preserve">сновная группа – </w:t>
      </w:r>
      <w:r w:rsidR="005A0A26">
        <w:rPr>
          <w:rFonts w:ascii="Times New Roman" w:hAnsi="Times New Roman" w:cs="Times New Roman"/>
          <w:sz w:val="28"/>
          <w:szCs w:val="28"/>
        </w:rPr>
        <w:t xml:space="preserve">30 </w:t>
      </w:r>
      <w:r w:rsidRPr="00DB7C31">
        <w:rPr>
          <w:rFonts w:ascii="Times New Roman" w:hAnsi="Times New Roman" w:cs="Times New Roman"/>
          <w:sz w:val="28"/>
          <w:szCs w:val="28"/>
        </w:rPr>
        <w:t>зуб</w:t>
      </w:r>
      <w:r w:rsidR="005A0A26">
        <w:rPr>
          <w:rFonts w:ascii="Times New Roman" w:hAnsi="Times New Roman" w:cs="Times New Roman"/>
          <w:sz w:val="28"/>
          <w:szCs w:val="28"/>
        </w:rPr>
        <w:t>ов</w:t>
      </w:r>
      <w:r w:rsidRPr="00DB7C31">
        <w:rPr>
          <w:rFonts w:ascii="Times New Roman" w:hAnsi="Times New Roman" w:cs="Times New Roman"/>
          <w:sz w:val="28"/>
          <w:szCs w:val="28"/>
        </w:rPr>
        <w:t xml:space="preserve">, каналы которых были запломбированы гуттаперчей с обработкой дентина поверхностным герметиком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Seal</w:t>
      </w:r>
      <w:r w:rsidRPr="00DB7C31">
        <w:rPr>
          <w:rFonts w:ascii="Times New Roman" w:hAnsi="Times New Roman" w:cs="Times New Roman"/>
          <w:sz w:val="28"/>
          <w:szCs w:val="28"/>
        </w:rPr>
        <w:t>&amp;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Protect</w:t>
      </w:r>
      <w:r w:rsidRPr="00DB7C31">
        <w:rPr>
          <w:rFonts w:ascii="Times New Roman" w:hAnsi="Times New Roman" w:cs="Times New Roman"/>
          <w:sz w:val="28"/>
          <w:szCs w:val="28"/>
        </w:rPr>
        <w:t xml:space="preserve"> (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Dentsply</w:t>
      </w:r>
      <w:r w:rsidRPr="00DB7C31">
        <w:rPr>
          <w:rFonts w:ascii="Times New Roman" w:hAnsi="Times New Roman" w:cs="Times New Roman"/>
          <w:sz w:val="28"/>
          <w:szCs w:val="28"/>
        </w:rPr>
        <w:t>) по приведенной ниже методике</w:t>
      </w:r>
      <w:r w:rsidR="00C474C7">
        <w:rPr>
          <w:rFonts w:ascii="Times New Roman" w:hAnsi="Times New Roman" w:cs="Times New Roman"/>
          <w:sz w:val="28"/>
          <w:szCs w:val="28"/>
        </w:rPr>
        <w:t xml:space="preserve">. </w:t>
      </w:r>
      <w:r w:rsidRPr="00DB7C31">
        <w:rPr>
          <w:rFonts w:ascii="Times New Roman" w:hAnsi="Times New Roman" w:cs="Times New Roman"/>
          <w:sz w:val="28"/>
          <w:szCs w:val="28"/>
        </w:rPr>
        <w:t xml:space="preserve">Контрольная группа – </w:t>
      </w:r>
      <w:r w:rsidR="005A0A26">
        <w:rPr>
          <w:rFonts w:ascii="Times New Roman" w:hAnsi="Times New Roman" w:cs="Times New Roman"/>
          <w:sz w:val="28"/>
          <w:szCs w:val="28"/>
        </w:rPr>
        <w:t>30 зубов</w:t>
      </w:r>
      <w:r w:rsidRPr="00DB7C31">
        <w:rPr>
          <w:rFonts w:ascii="Times New Roman" w:hAnsi="Times New Roman" w:cs="Times New Roman"/>
          <w:sz w:val="28"/>
          <w:szCs w:val="28"/>
        </w:rPr>
        <w:t>, каналы которых были запломбированы гуттаперчевыми штифтами, но дентин зуба не покрывался поверхностным герметиком.</w:t>
      </w:r>
    </w:p>
    <w:p w:rsidR="00DB7C31" w:rsidRPr="00DB7C31" w:rsidRDefault="00DB7C31" w:rsidP="00260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 xml:space="preserve">В свежеудаленных зубах обеих групп после экстирпации пульпы через искусственно созданные трепанационные отверстия традиционной локализации (в окклюзионной </w:t>
      </w:r>
      <w:r w:rsidR="00B37D8D">
        <w:rPr>
          <w:rFonts w:ascii="Times New Roman" w:hAnsi="Times New Roman" w:cs="Times New Roman"/>
          <w:sz w:val="28"/>
          <w:szCs w:val="28"/>
        </w:rPr>
        <w:t xml:space="preserve">или оральной </w:t>
      </w:r>
      <w:r w:rsidRPr="00DB7C31">
        <w:rPr>
          <w:rFonts w:ascii="Times New Roman" w:hAnsi="Times New Roman" w:cs="Times New Roman"/>
          <w:sz w:val="28"/>
          <w:szCs w:val="28"/>
        </w:rPr>
        <w:t xml:space="preserve">поверхности) производили механическую </w:t>
      </w:r>
      <w:r w:rsidR="00B01E9F">
        <w:rPr>
          <w:rFonts w:ascii="Times New Roman" w:hAnsi="Times New Roman" w:cs="Times New Roman"/>
          <w:sz w:val="28"/>
          <w:szCs w:val="28"/>
        </w:rPr>
        <w:t>(</w:t>
      </w:r>
      <w:r w:rsidRPr="00DB7C31">
        <w:rPr>
          <w:rFonts w:ascii="Times New Roman" w:hAnsi="Times New Roman" w:cs="Times New Roman"/>
          <w:sz w:val="28"/>
          <w:szCs w:val="28"/>
        </w:rPr>
        <w:t>техникой «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DB7C31">
        <w:rPr>
          <w:rFonts w:ascii="Times New Roman" w:hAnsi="Times New Roman" w:cs="Times New Roman"/>
          <w:sz w:val="28"/>
          <w:szCs w:val="28"/>
        </w:rPr>
        <w:t>-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DB7C31">
        <w:rPr>
          <w:rFonts w:ascii="Times New Roman" w:hAnsi="Times New Roman" w:cs="Times New Roman"/>
          <w:sz w:val="28"/>
          <w:szCs w:val="28"/>
        </w:rPr>
        <w:t>»</w:t>
      </w:r>
      <w:r w:rsidR="00B01E9F">
        <w:rPr>
          <w:rFonts w:ascii="Times New Roman" w:hAnsi="Times New Roman" w:cs="Times New Roman"/>
          <w:sz w:val="28"/>
          <w:szCs w:val="28"/>
        </w:rPr>
        <w:t>)</w:t>
      </w:r>
      <w:r w:rsidRPr="00DB7C31">
        <w:rPr>
          <w:rFonts w:ascii="Times New Roman" w:hAnsi="Times New Roman" w:cs="Times New Roman"/>
          <w:sz w:val="28"/>
          <w:szCs w:val="28"/>
        </w:rPr>
        <w:t xml:space="preserve"> и медикаментозную</w:t>
      </w:r>
      <w:r w:rsidR="00B01E9F" w:rsidRPr="00B01E9F">
        <w:rPr>
          <w:rFonts w:ascii="Times New Roman" w:hAnsi="Times New Roman" w:cs="Times New Roman"/>
          <w:sz w:val="28"/>
          <w:szCs w:val="28"/>
        </w:rPr>
        <w:t xml:space="preserve"> </w:t>
      </w:r>
      <w:r w:rsidR="00B01E9F" w:rsidRPr="00DB7C31">
        <w:rPr>
          <w:rFonts w:ascii="Times New Roman" w:hAnsi="Times New Roman" w:cs="Times New Roman"/>
          <w:sz w:val="28"/>
          <w:szCs w:val="28"/>
        </w:rPr>
        <w:t>обработку</w:t>
      </w:r>
      <w:r w:rsidRPr="00DB7C31">
        <w:rPr>
          <w:rFonts w:ascii="Times New Roman" w:hAnsi="Times New Roman" w:cs="Times New Roman"/>
          <w:sz w:val="28"/>
          <w:szCs w:val="28"/>
        </w:rPr>
        <w:t>. Корневые каналы пломбировали гуттаперчевыми штифтами с пастой «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DB7C31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DB7C31">
        <w:rPr>
          <w:rFonts w:ascii="Times New Roman" w:hAnsi="Times New Roman" w:cs="Times New Roman"/>
          <w:sz w:val="28"/>
          <w:szCs w:val="28"/>
        </w:rPr>
        <w:t xml:space="preserve">» методом латеральной конденсации. Через 24 часа зубы препарировали под штифтовую вкладку: канал </w:t>
      </w:r>
      <w:r w:rsidR="00B37D8D">
        <w:rPr>
          <w:rFonts w:ascii="Times New Roman" w:hAnsi="Times New Roman" w:cs="Times New Roman"/>
          <w:sz w:val="28"/>
          <w:szCs w:val="28"/>
        </w:rPr>
        <w:t>распломбировывали</w:t>
      </w:r>
      <w:r w:rsidRPr="00DB7C31">
        <w:rPr>
          <w:rFonts w:ascii="Times New Roman" w:hAnsi="Times New Roman" w:cs="Times New Roman"/>
          <w:sz w:val="28"/>
          <w:szCs w:val="28"/>
        </w:rPr>
        <w:t xml:space="preserve"> на 2/3 длины корня</w:t>
      </w:r>
      <w:r w:rsidR="00B37D8D">
        <w:rPr>
          <w:rFonts w:ascii="Times New Roman" w:hAnsi="Times New Roman" w:cs="Times New Roman"/>
          <w:sz w:val="28"/>
          <w:szCs w:val="28"/>
        </w:rPr>
        <w:t xml:space="preserve"> до размера №4 инструмента «</w:t>
      </w:r>
      <w:r w:rsidR="00B37D8D">
        <w:rPr>
          <w:rFonts w:ascii="Times New Roman" w:hAnsi="Times New Roman" w:cs="Times New Roman"/>
          <w:sz w:val="28"/>
          <w:szCs w:val="28"/>
          <w:lang w:val="en-US"/>
        </w:rPr>
        <w:t>Peeso</w:t>
      </w:r>
      <w:r w:rsidR="00B37D8D" w:rsidRPr="00B37D8D">
        <w:rPr>
          <w:rFonts w:ascii="Times New Roman" w:hAnsi="Times New Roman" w:cs="Times New Roman"/>
          <w:sz w:val="28"/>
          <w:szCs w:val="28"/>
        </w:rPr>
        <w:t xml:space="preserve"> </w:t>
      </w:r>
      <w:r w:rsidR="00B37D8D">
        <w:rPr>
          <w:rFonts w:ascii="Times New Roman" w:hAnsi="Times New Roman" w:cs="Times New Roman"/>
          <w:sz w:val="28"/>
          <w:szCs w:val="28"/>
          <w:lang w:val="en-US"/>
        </w:rPr>
        <w:t>Reamer</w:t>
      </w:r>
      <w:r w:rsidR="00B37D8D">
        <w:rPr>
          <w:rFonts w:ascii="Times New Roman" w:hAnsi="Times New Roman" w:cs="Times New Roman"/>
          <w:sz w:val="28"/>
          <w:szCs w:val="28"/>
        </w:rPr>
        <w:t>»</w:t>
      </w:r>
      <w:r w:rsidRPr="00DB7C31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B37D8D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Pr="00DB7C31">
        <w:rPr>
          <w:rFonts w:ascii="Times New Roman" w:hAnsi="Times New Roman" w:cs="Times New Roman"/>
          <w:sz w:val="28"/>
          <w:szCs w:val="28"/>
        </w:rPr>
        <w:t>препарирова</w:t>
      </w:r>
      <w:r w:rsidR="00B37D8D">
        <w:rPr>
          <w:rFonts w:ascii="Times New Roman" w:hAnsi="Times New Roman" w:cs="Times New Roman"/>
          <w:sz w:val="28"/>
          <w:szCs w:val="28"/>
        </w:rPr>
        <w:t>ние</w:t>
      </w:r>
      <w:r w:rsidRPr="00DB7C31">
        <w:rPr>
          <w:rFonts w:ascii="Times New Roman" w:hAnsi="Times New Roman" w:cs="Times New Roman"/>
          <w:sz w:val="28"/>
          <w:szCs w:val="28"/>
        </w:rPr>
        <w:t xml:space="preserve"> культ</w:t>
      </w:r>
      <w:r w:rsidR="00B37D8D">
        <w:rPr>
          <w:rFonts w:ascii="Times New Roman" w:hAnsi="Times New Roman" w:cs="Times New Roman"/>
          <w:sz w:val="28"/>
          <w:szCs w:val="28"/>
        </w:rPr>
        <w:t xml:space="preserve">и </w:t>
      </w:r>
      <w:r w:rsidRPr="00DB7C31">
        <w:rPr>
          <w:rFonts w:ascii="Times New Roman" w:hAnsi="Times New Roman" w:cs="Times New Roman"/>
          <w:sz w:val="28"/>
          <w:szCs w:val="28"/>
        </w:rPr>
        <w:t xml:space="preserve">зуба с созданием уступа, </w:t>
      </w:r>
      <w:r w:rsidR="00B37D8D">
        <w:rPr>
          <w:rFonts w:ascii="Times New Roman" w:hAnsi="Times New Roman" w:cs="Times New Roman"/>
          <w:sz w:val="28"/>
          <w:szCs w:val="28"/>
        </w:rPr>
        <w:t>обеспечивая</w:t>
      </w:r>
      <w:r w:rsidRPr="00DB7C31">
        <w:rPr>
          <w:rFonts w:ascii="Times New Roman" w:hAnsi="Times New Roman" w:cs="Times New Roman"/>
          <w:sz w:val="28"/>
          <w:szCs w:val="28"/>
        </w:rPr>
        <w:t xml:space="preserve"> параллельность внутренних стенок полости.</w:t>
      </w:r>
    </w:p>
    <w:p w:rsidR="00DB7C31" w:rsidRPr="00DB7C31" w:rsidRDefault="00DB7C31" w:rsidP="002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>Поверхность дентина культей зубов основной группы обрабатывали поверхностным герметиком по инструк</w:t>
      </w:r>
      <w:r w:rsidR="00B01E9F">
        <w:rPr>
          <w:rFonts w:ascii="Times New Roman" w:hAnsi="Times New Roman" w:cs="Times New Roman"/>
          <w:sz w:val="28"/>
          <w:szCs w:val="28"/>
        </w:rPr>
        <w:t>ции:  медикаментозная обработка</w:t>
      </w:r>
      <w:r w:rsidRPr="00DB7C31">
        <w:rPr>
          <w:rFonts w:ascii="Times New Roman" w:hAnsi="Times New Roman" w:cs="Times New Roman"/>
          <w:sz w:val="28"/>
          <w:szCs w:val="28"/>
        </w:rPr>
        <w:t>;</w:t>
      </w:r>
      <w:r w:rsidR="00AB4898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>аппликатором наименьшего размера наносили слой поверхностного герметика на дентин культи зуба, внутренние стенки полости и стенки корневого канала, выжидали 20 с, затем – полимеризация галогеновой лампой 20 с;</w:t>
      </w:r>
      <w:r w:rsidR="00AB4898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>повторное нанесение поверхностного герметика и полимеризация 20с.</w:t>
      </w:r>
    </w:p>
    <w:p w:rsidR="00DB7C31" w:rsidRPr="00DB7C31" w:rsidRDefault="00DB7C31" w:rsidP="0026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 xml:space="preserve">Изучение проницаемости дентина корня и культи проводилось путем погружения зубов основной и контрольной группы в 2% раствор </w:t>
      </w:r>
      <w:r w:rsidRPr="00DB7C31">
        <w:rPr>
          <w:rFonts w:ascii="Times New Roman" w:hAnsi="Times New Roman" w:cs="Times New Roman"/>
          <w:sz w:val="28"/>
          <w:szCs w:val="28"/>
        </w:rPr>
        <w:lastRenderedPageBreak/>
        <w:t>метиленового синего</w:t>
      </w:r>
      <w:r w:rsidR="00AB48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Через</w:t>
      </w:r>
      <w:r w:rsidRPr="00DB7C31">
        <w:rPr>
          <w:rFonts w:ascii="Times New Roman" w:hAnsi="Times New Roman" w:cs="Times New Roman"/>
          <w:sz w:val="28"/>
          <w:szCs w:val="28"/>
        </w:rPr>
        <w:t xml:space="preserve"> 24 часа получали продольные </w:t>
      </w:r>
      <w:r w:rsidRPr="00DB7C31">
        <w:rPr>
          <w:rFonts w:ascii="Times New Roman" w:hAnsi="Times New Roman" w:cs="Times New Roman"/>
          <w:sz w:val="28"/>
          <w:szCs w:val="28"/>
        </w:rPr>
        <w:softHyphen/>
      </w:r>
      <w:r w:rsidRPr="00DB7C31">
        <w:rPr>
          <w:rFonts w:ascii="Times New Roman" w:hAnsi="Times New Roman" w:cs="Times New Roman"/>
          <w:sz w:val="28"/>
          <w:szCs w:val="28"/>
        </w:rPr>
        <w:softHyphen/>
        <w:t xml:space="preserve">шлифы зубов в мезиодистальном направлении по ходу корневых каналов. </w:t>
      </w:r>
    </w:p>
    <w:p w:rsidR="00DB7C31" w:rsidRPr="00DB7C31" w:rsidRDefault="00DB7C31" w:rsidP="00260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>При помощи микроскопа оценивали проникновение красителя в дентинные канальцы культи зуба, пришеечной и средней трети корня и апикальной трети зуба следующим образом:</w:t>
      </w:r>
      <w:r w:rsidR="00AB4898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>отсутствие проникновения красителя в исследуемую зону – 0 баллов;</w:t>
      </w:r>
      <w:r w:rsidR="00AB4898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>окрашивание дентина исследуемой зоны – 1 балл.</w:t>
      </w:r>
      <w:r w:rsidR="00AB4898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>Далее по формуле определяли частоту окрашивания дентина зуба в исследуемых зонах:</w:t>
      </w:r>
      <w:r w:rsidR="00AB4898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 xml:space="preserve">γ = </w:t>
      </w:r>
      <m:oMath>
        <m:f>
          <m:fPr>
            <m:type m:val="li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  <w:r w:rsidRPr="00DB7C3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B7C31">
        <w:rPr>
          <w:rFonts w:ascii="Times New Roman" w:hAnsi="Times New Roman" w:cs="Times New Roman"/>
          <w:sz w:val="28"/>
          <w:szCs w:val="28"/>
        </w:rPr>
        <w:t xml:space="preserve"> – количество исследуемых зубов в группе,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4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8"/>
              </w:rPr>
              <m:t>i</m:t>
            </m:r>
          </m:e>
        </m:nary>
      </m:oMath>
      <w:r w:rsidRPr="00DB7C31">
        <w:rPr>
          <w:rFonts w:ascii="Times New Roman" w:hAnsi="Times New Roman" w:cs="Times New Roman"/>
          <w:sz w:val="28"/>
          <w:szCs w:val="28"/>
        </w:rPr>
        <w:t xml:space="preserve"> - сумма баллов в выбранной зоне исследуемой группы зубов.</w:t>
      </w: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ab/>
      </w:r>
      <w:r w:rsidR="00AB4898">
        <w:rPr>
          <w:rFonts w:ascii="Times New Roman" w:hAnsi="Times New Roman" w:cs="Times New Roman"/>
          <w:sz w:val="28"/>
          <w:szCs w:val="28"/>
        </w:rPr>
        <w:t xml:space="preserve">Для </w:t>
      </w:r>
      <w:r w:rsidRPr="00DB7C31">
        <w:rPr>
          <w:rFonts w:ascii="Times New Roman" w:hAnsi="Times New Roman" w:cs="Times New Roman"/>
          <w:sz w:val="28"/>
          <w:szCs w:val="28"/>
        </w:rPr>
        <w:t>проведен</w:t>
      </w:r>
      <w:r w:rsidR="00AB4898">
        <w:rPr>
          <w:rFonts w:ascii="Times New Roman" w:hAnsi="Times New Roman" w:cs="Times New Roman"/>
          <w:sz w:val="28"/>
          <w:szCs w:val="28"/>
        </w:rPr>
        <w:t>ия</w:t>
      </w:r>
      <w:r w:rsidRPr="00DB7C3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AB4898">
        <w:rPr>
          <w:rFonts w:ascii="Times New Roman" w:hAnsi="Times New Roman" w:cs="Times New Roman"/>
          <w:sz w:val="28"/>
          <w:szCs w:val="28"/>
        </w:rPr>
        <w:t>я</w:t>
      </w:r>
      <w:r w:rsidRPr="00DB7C31">
        <w:rPr>
          <w:rFonts w:ascii="Times New Roman" w:hAnsi="Times New Roman" w:cs="Times New Roman"/>
          <w:sz w:val="28"/>
          <w:szCs w:val="28"/>
        </w:rPr>
        <w:t xml:space="preserve"> напряженно-деформированного состояния системы «</w:t>
      </w:r>
      <w:r w:rsidRPr="00DB7C31">
        <w:rPr>
          <w:rFonts w:ascii="Times New Roman" w:hAnsi="Times New Roman" w:cs="Times New Roman"/>
          <w:i/>
          <w:sz w:val="28"/>
          <w:szCs w:val="28"/>
        </w:rPr>
        <w:t>депульпированный зуб – штифтовая культевая вкладка – литая коронка»</w:t>
      </w:r>
      <w:r w:rsidRPr="00DB7C31">
        <w:rPr>
          <w:rFonts w:ascii="Times New Roman" w:hAnsi="Times New Roman" w:cs="Times New Roman"/>
          <w:sz w:val="28"/>
          <w:szCs w:val="28"/>
        </w:rPr>
        <w:t xml:space="preserve"> </w:t>
      </w:r>
      <w:r w:rsidR="00AD2F67">
        <w:rPr>
          <w:rFonts w:ascii="Times New Roman" w:hAnsi="Times New Roman" w:cs="Times New Roman"/>
          <w:sz w:val="28"/>
          <w:szCs w:val="28"/>
        </w:rPr>
        <w:t>разработаны 6 математических моделей: м</w:t>
      </w:r>
      <w:r w:rsidRPr="00DB7C31">
        <w:rPr>
          <w:rFonts w:ascii="Times New Roman" w:hAnsi="Times New Roman" w:cs="Times New Roman"/>
          <w:sz w:val="28"/>
          <w:szCs w:val="28"/>
        </w:rPr>
        <w:t xml:space="preserve">одель 1 – </w:t>
      </w:r>
      <w:r w:rsidR="00AD2F67">
        <w:rPr>
          <w:rFonts w:ascii="Times New Roman" w:hAnsi="Times New Roman" w:cs="Times New Roman"/>
          <w:sz w:val="28"/>
          <w:szCs w:val="28"/>
        </w:rPr>
        <w:t xml:space="preserve">разрушение культи на ½ длины, </w:t>
      </w:r>
      <w:r w:rsidRPr="00DB7C31">
        <w:rPr>
          <w:rFonts w:ascii="Times New Roman" w:hAnsi="Times New Roman" w:cs="Times New Roman"/>
          <w:sz w:val="28"/>
          <w:szCs w:val="28"/>
        </w:rPr>
        <w:t xml:space="preserve">в пришеечной части зуба </w:t>
      </w:r>
      <w:r w:rsidR="00A8625B">
        <w:rPr>
          <w:rFonts w:ascii="Times New Roman" w:hAnsi="Times New Roman" w:cs="Times New Roman"/>
          <w:sz w:val="28"/>
          <w:szCs w:val="28"/>
        </w:rPr>
        <w:t>уступ 135</w:t>
      </w:r>
      <w:r w:rsidR="00A8625B" w:rsidRPr="00A8625B">
        <w:rPr>
          <w:rFonts w:ascii="Times New Roman" w:hAnsi="Times New Roman" w:cs="Times New Roman"/>
          <w:sz w:val="28"/>
          <w:szCs w:val="28"/>
        </w:rPr>
        <w:t xml:space="preserve"> </w:t>
      </w:r>
      <w:r w:rsidR="00A8625B">
        <w:rPr>
          <w:rFonts w:ascii="Times New Roman" w:hAnsi="Times New Roman" w:cs="Times New Roman"/>
          <w:sz w:val="28"/>
          <w:szCs w:val="28"/>
        </w:rPr>
        <w:t xml:space="preserve">º; модель 2 - </w:t>
      </w:r>
      <w:r w:rsidR="00AD2F67">
        <w:rPr>
          <w:rFonts w:ascii="Times New Roman" w:hAnsi="Times New Roman" w:cs="Times New Roman"/>
          <w:sz w:val="28"/>
          <w:szCs w:val="28"/>
        </w:rPr>
        <w:t>разрушение культи на ½ длины,</w:t>
      </w:r>
      <w:r w:rsidR="00AD2F67" w:rsidRPr="00DB7C31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>уступ 90</w:t>
      </w:r>
      <w:r w:rsidR="00A8625B">
        <w:rPr>
          <w:rFonts w:ascii="Times New Roman" w:hAnsi="Times New Roman" w:cs="Times New Roman"/>
          <w:sz w:val="28"/>
          <w:szCs w:val="28"/>
        </w:rPr>
        <w:t>º</w:t>
      </w:r>
      <w:r w:rsidR="00AD2F67">
        <w:rPr>
          <w:rFonts w:ascii="Times New Roman" w:hAnsi="Times New Roman" w:cs="Times New Roman"/>
          <w:sz w:val="28"/>
          <w:szCs w:val="28"/>
        </w:rPr>
        <w:t>; м</w:t>
      </w:r>
      <w:r w:rsidRPr="00DB7C31">
        <w:rPr>
          <w:rFonts w:ascii="Times New Roman" w:hAnsi="Times New Roman" w:cs="Times New Roman"/>
          <w:sz w:val="28"/>
          <w:szCs w:val="28"/>
        </w:rPr>
        <w:t xml:space="preserve">одель 3 – </w:t>
      </w:r>
      <w:r w:rsidR="00AD2F67">
        <w:rPr>
          <w:rFonts w:ascii="Times New Roman" w:hAnsi="Times New Roman" w:cs="Times New Roman"/>
          <w:sz w:val="28"/>
          <w:szCs w:val="28"/>
        </w:rPr>
        <w:t>разрушение культи на ½ длины,</w:t>
      </w:r>
      <w:r w:rsidR="00AD2F67" w:rsidRPr="00DB7C31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>без уступа</w:t>
      </w:r>
      <w:r w:rsidR="00956F64">
        <w:rPr>
          <w:rFonts w:ascii="Times New Roman" w:hAnsi="Times New Roman" w:cs="Times New Roman"/>
          <w:sz w:val="28"/>
          <w:szCs w:val="28"/>
        </w:rPr>
        <w:t>; м</w:t>
      </w:r>
      <w:r w:rsidRPr="00DB7C31">
        <w:rPr>
          <w:rFonts w:ascii="Times New Roman" w:hAnsi="Times New Roman" w:cs="Times New Roman"/>
          <w:sz w:val="28"/>
          <w:szCs w:val="28"/>
        </w:rPr>
        <w:t xml:space="preserve">одель 4 – </w:t>
      </w:r>
      <w:r w:rsidR="00956F64">
        <w:rPr>
          <w:rFonts w:ascii="Times New Roman" w:hAnsi="Times New Roman" w:cs="Times New Roman"/>
          <w:sz w:val="28"/>
          <w:szCs w:val="28"/>
        </w:rPr>
        <w:t xml:space="preserve">полное разрушение коронковой части, </w:t>
      </w:r>
      <w:r w:rsidRPr="00DB7C31">
        <w:rPr>
          <w:rFonts w:ascii="Times New Roman" w:hAnsi="Times New Roman" w:cs="Times New Roman"/>
          <w:sz w:val="28"/>
          <w:szCs w:val="28"/>
        </w:rPr>
        <w:t>уступ 135</w:t>
      </w:r>
      <w:r w:rsidR="00A8625B">
        <w:rPr>
          <w:rFonts w:ascii="Times New Roman" w:hAnsi="Times New Roman" w:cs="Times New Roman"/>
          <w:sz w:val="28"/>
          <w:szCs w:val="28"/>
        </w:rPr>
        <w:t>º</w:t>
      </w:r>
      <w:r w:rsidR="00956F64">
        <w:rPr>
          <w:rFonts w:ascii="Times New Roman" w:hAnsi="Times New Roman" w:cs="Times New Roman"/>
          <w:sz w:val="28"/>
          <w:szCs w:val="28"/>
        </w:rPr>
        <w:t>; м</w:t>
      </w:r>
      <w:r w:rsidRPr="00DB7C31">
        <w:rPr>
          <w:rFonts w:ascii="Times New Roman" w:hAnsi="Times New Roman" w:cs="Times New Roman"/>
          <w:sz w:val="28"/>
          <w:szCs w:val="28"/>
        </w:rPr>
        <w:t xml:space="preserve">одель 5 – </w:t>
      </w:r>
      <w:r w:rsidR="00956F64">
        <w:rPr>
          <w:rFonts w:ascii="Times New Roman" w:hAnsi="Times New Roman" w:cs="Times New Roman"/>
          <w:sz w:val="28"/>
          <w:szCs w:val="28"/>
        </w:rPr>
        <w:t xml:space="preserve">полное разрушение коронковой части, </w:t>
      </w:r>
      <w:r w:rsidRPr="00DB7C31">
        <w:rPr>
          <w:rFonts w:ascii="Times New Roman" w:hAnsi="Times New Roman" w:cs="Times New Roman"/>
          <w:sz w:val="28"/>
          <w:szCs w:val="28"/>
        </w:rPr>
        <w:t>уступ 90</w:t>
      </w:r>
      <w:r w:rsidR="00A8625B">
        <w:rPr>
          <w:rFonts w:ascii="Times New Roman" w:hAnsi="Times New Roman" w:cs="Times New Roman"/>
          <w:sz w:val="28"/>
          <w:szCs w:val="28"/>
        </w:rPr>
        <w:t>º</w:t>
      </w:r>
      <w:r w:rsidR="00956F64">
        <w:rPr>
          <w:rFonts w:ascii="Times New Roman" w:hAnsi="Times New Roman" w:cs="Times New Roman"/>
          <w:sz w:val="28"/>
          <w:szCs w:val="28"/>
        </w:rPr>
        <w:t>; м</w:t>
      </w:r>
      <w:r w:rsidRPr="00DB7C31">
        <w:rPr>
          <w:rFonts w:ascii="Times New Roman" w:hAnsi="Times New Roman" w:cs="Times New Roman"/>
          <w:sz w:val="28"/>
          <w:szCs w:val="28"/>
        </w:rPr>
        <w:t xml:space="preserve">одель 6 – </w:t>
      </w:r>
      <w:r w:rsidR="00956F64">
        <w:rPr>
          <w:rFonts w:ascii="Times New Roman" w:hAnsi="Times New Roman" w:cs="Times New Roman"/>
          <w:sz w:val="28"/>
          <w:szCs w:val="28"/>
        </w:rPr>
        <w:t>полное разрушение коронковой части,</w:t>
      </w:r>
      <w:r w:rsidRPr="00DB7C31">
        <w:rPr>
          <w:rFonts w:ascii="Times New Roman" w:hAnsi="Times New Roman" w:cs="Times New Roman"/>
          <w:sz w:val="28"/>
          <w:szCs w:val="28"/>
        </w:rPr>
        <w:t xml:space="preserve"> без уступа. </w:t>
      </w:r>
    </w:p>
    <w:p w:rsidR="00DB7C31" w:rsidRPr="00DB7C31" w:rsidRDefault="00DB7C31" w:rsidP="00260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>В моделях с полным разрушением коронковой части (модели 4,5,6) край коронки перекрывал твердые ткани на 0,8 мм (эффект обода). Конусность культи во всех моделях составила 2º.</w:t>
      </w:r>
      <w:r w:rsidR="00B01E9F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 xml:space="preserve">Компьютерное моделирование производили в программе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Pr="00DB7C31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DB7C3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Pr="00DB7C31">
        <w:rPr>
          <w:rFonts w:ascii="Times New Roman" w:hAnsi="Times New Roman" w:cs="Times New Roman"/>
          <w:sz w:val="28"/>
          <w:szCs w:val="28"/>
        </w:rPr>
        <w:t xml:space="preserve"> 14.5.</w:t>
      </w:r>
      <w:r w:rsidR="00B01E9F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 xml:space="preserve">Прочностной анализ перечисленных математических моделей проведен на программном обеспечении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ANSYS</w:t>
      </w:r>
      <w:r w:rsidRPr="00DB7C31">
        <w:rPr>
          <w:rFonts w:ascii="Times New Roman" w:hAnsi="Times New Roman" w:cs="Times New Roman"/>
          <w:sz w:val="28"/>
          <w:szCs w:val="28"/>
        </w:rPr>
        <w:t xml:space="preserve"> 14.5 при вертикальной нагрузке, а также при боковой нагрузке (от 5 до 45 градусов относительно вертикальной оси с шагом 5 градусов). </w:t>
      </w:r>
    </w:p>
    <w:p w:rsidR="00DB7C31" w:rsidRPr="00DB7C31" w:rsidRDefault="00DB7C31" w:rsidP="00260ED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C31">
        <w:rPr>
          <w:sz w:val="28"/>
          <w:szCs w:val="28"/>
        </w:rPr>
        <w:tab/>
        <w:t>Для расчета напряженно-деформированных состояний использовались данные о комп</w:t>
      </w:r>
      <w:r w:rsidR="00260ED2">
        <w:rPr>
          <w:sz w:val="28"/>
          <w:szCs w:val="28"/>
        </w:rPr>
        <w:t xml:space="preserve">онентах математических моделей </w:t>
      </w:r>
      <w:r w:rsidR="00B01E9F">
        <w:rPr>
          <w:sz w:val="28"/>
          <w:szCs w:val="28"/>
        </w:rPr>
        <w:t>(табл.</w:t>
      </w:r>
      <w:r w:rsidR="00260ED2">
        <w:rPr>
          <w:sz w:val="28"/>
          <w:szCs w:val="28"/>
        </w:rPr>
        <w:t xml:space="preserve"> №</w:t>
      </w:r>
      <w:r w:rsidR="00B01E9F">
        <w:rPr>
          <w:sz w:val="28"/>
          <w:szCs w:val="28"/>
        </w:rPr>
        <w:t>1)</w:t>
      </w:r>
      <w:r w:rsidRPr="00DB7C31">
        <w:rPr>
          <w:sz w:val="28"/>
          <w:szCs w:val="28"/>
        </w:rPr>
        <w:t xml:space="preserve">. </w:t>
      </w:r>
    </w:p>
    <w:p w:rsidR="007E3222" w:rsidRPr="007E3222" w:rsidRDefault="007E3222" w:rsidP="00260ED2">
      <w:pPr>
        <w:pStyle w:val="a5"/>
        <w:shd w:val="clear" w:color="auto" w:fill="FFFFFF"/>
        <w:spacing w:before="0" w:beforeAutospacing="0" w:after="0" w:afterAutospacing="0"/>
        <w:ind w:left="2552" w:hanging="1843"/>
        <w:jc w:val="both"/>
        <w:rPr>
          <w:sz w:val="10"/>
          <w:szCs w:val="10"/>
        </w:rPr>
      </w:pPr>
    </w:p>
    <w:p w:rsidR="00DB7C31" w:rsidRPr="00DB7C31" w:rsidRDefault="00DB7C31" w:rsidP="00260ED2">
      <w:pPr>
        <w:pStyle w:val="a5"/>
        <w:shd w:val="clear" w:color="auto" w:fill="FFFFFF"/>
        <w:spacing w:before="0" w:beforeAutospacing="0" w:after="0" w:afterAutospacing="0"/>
        <w:ind w:left="2552" w:hanging="1843"/>
        <w:jc w:val="both"/>
        <w:rPr>
          <w:sz w:val="28"/>
          <w:szCs w:val="28"/>
        </w:rPr>
      </w:pPr>
      <w:r w:rsidRPr="00DB7C31">
        <w:rPr>
          <w:sz w:val="28"/>
          <w:szCs w:val="28"/>
        </w:rPr>
        <w:t>Таблица №1. Значения твердости, модуля упругости (эластичности), коэффициента Пуассона для дентина и сплава КХС, используемые в исследовании.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410"/>
      </w:tblGrid>
      <w:tr w:rsidR="00DB7C31" w:rsidRPr="00DB7C31" w:rsidTr="00260ED2">
        <w:trPr>
          <w:trHeight w:val="1265"/>
        </w:trPr>
        <w:tc>
          <w:tcPr>
            <w:tcW w:w="2235" w:type="dxa"/>
            <w:tcBorders>
              <w:tl2br w:val="single" w:sz="4" w:space="0" w:color="auto"/>
            </w:tcBorders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Параметр</w:t>
            </w:r>
          </w:p>
          <w:p w:rsidR="00DB7C31" w:rsidRPr="00DB7C31" w:rsidRDefault="00DB7C31" w:rsidP="00260ED2">
            <w:pPr>
              <w:pStyle w:val="a5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</w:p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Материал</w:t>
            </w:r>
          </w:p>
        </w:tc>
        <w:tc>
          <w:tcPr>
            <w:tcW w:w="2409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Твердость,</w:t>
            </w:r>
          </w:p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кг/мм</w:t>
            </w:r>
            <w:r w:rsidRPr="00DB7C3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Модуль упругости (эластичности) Юнга, ГПа</w:t>
            </w:r>
          </w:p>
        </w:tc>
        <w:tc>
          <w:tcPr>
            <w:tcW w:w="2410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Коэффициент Пуассона</w:t>
            </w:r>
          </w:p>
        </w:tc>
      </w:tr>
      <w:tr w:rsidR="00DB7C31" w:rsidRPr="00DB7C31" w:rsidTr="00260ED2">
        <w:trPr>
          <w:trHeight w:val="390"/>
        </w:trPr>
        <w:tc>
          <w:tcPr>
            <w:tcW w:w="2235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Дентин зуба</w:t>
            </w:r>
          </w:p>
        </w:tc>
        <w:tc>
          <w:tcPr>
            <w:tcW w:w="2409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10,00</w:t>
            </w:r>
          </w:p>
        </w:tc>
        <w:tc>
          <w:tcPr>
            <w:tcW w:w="2410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0,31</w:t>
            </w:r>
          </w:p>
        </w:tc>
      </w:tr>
      <w:tr w:rsidR="00DB7C31" w:rsidRPr="00DB7C31" w:rsidTr="00260ED2">
        <w:trPr>
          <w:trHeight w:val="268"/>
        </w:trPr>
        <w:tc>
          <w:tcPr>
            <w:tcW w:w="2235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Сплав КХС*</w:t>
            </w:r>
          </w:p>
        </w:tc>
        <w:tc>
          <w:tcPr>
            <w:tcW w:w="2409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390</w:t>
            </w:r>
          </w:p>
        </w:tc>
        <w:tc>
          <w:tcPr>
            <w:tcW w:w="2410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225</w:t>
            </w:r>
          </w:p>
        </w:tc>
        <w:tc>
          <w:tcPr>
            <w:tcW w:w="2410" w:type="dxa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0,35</w:t>
            </w:r>
          </w:p>
        </w:tc>
      </w:tr>
      <w:tr w:rsidR="00DB7C31" w:rsidRPr="00DB7C31" w:rsidTr="00260ED2">
        <w:trPr>
          <w:trHeight w:val="371"/>
        </w:trPr>
        <w:tc>
          <w:tcPr>
            <w:tcW w:w="9464" w:type="dxa"/>
            <w:gridSpan w:val="4"/>
            <w:vAlign w:val="center"/>
          </w:tcPr>
          <w:p w:rsidR="00DB7C31" w:rsidRPr="00DB7C31" w:rsidRDefault="00DB7C31" w:rsidP="00260ED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B7C31">
              <w:rPr>
                <w:sz w:val="28"/>
                <w:szCs w:val="28"/>
              </w:rPr>
              <w:t>* Кобальто-хромовый сплав «Целлит К», данные производителя</w:t>
            </w:r>
          </w:p>
        </w:tc>
      </w:tr>
    </w:tbl>
    <w:p w:rsidR="00DB7C31" w:rsidRPr="007E3222" w:rsidRDefault="00DB7C31" w:rsidP="00260ED2">
      <w:pPr>
        <w:pStyle w:val="a5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b/>
          <w:sz w:val="28"/>
          <w:szCs w:val="28"/>
        </w:rPr>
        <w:tab/>
      </w:r>
      <w:r w:rsidRPr="00DB7C31">
        <w:rPr>
          <w:rFonts w:ascii="Times New Roman" w:hAnsi="Times New Roman" w:cs="Times New Roman"/>
          <w:sz w:val="28"/>
          <w:szCs w:val="28"/>
        </w:rPr>
        <w:t xml:space="preserve">На основании данных, полученных при лабораторных исследованиях нами предложена методика подготовки опорных зубов для изготовления штифтовых конструкций. </w:t>
      </w: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ab/>
        <w:t xml:space="preserve">Препарирование культи зуба после эндодонтической подготовки проводили алмазными борами с максимальным сохранением не пораженных </w:t>
      </w:r>
      <w:r w:rsidRPr="00DB7C31">
        <w:rPr>
          <w:rFonts w:ascii="Times New Roman" w:hAnsi="Times New Roman" w:cs="Times New Roman"/>
          <w:sz w:val="28"/>
          <w:szCs w:val="28"/>
        </w:rPr>
        <w:lastRenderedPageBreak/>
        <w:t>кариесом тканей. В пришеечной области формировали уступ под углом 135 градусов на 0,3-0,5 мм ниже десневого края.</w:t>
      </w: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ab/>
        <w:t xml:space="preserve">Полость под вкладку формируется ящикообразной асимметричной формы, со сглаженными краями, без острых углов и переходов. Истонченные стенки культи зуба (менее 1 мм) иссекали, и в дальнейшем они перекрывались вкладкой. Корневой канал распломбировывали до 2/3 длины корня (но не менее ½), используя неагрессивный вращающийся инструмент типа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Peeso</w:t>
      </w:r>
      <w:r w:rsidRPr="00DB7C31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Reamer</w:t>
      </w:r>
      <w:r w:rsidRPr="00DB7C31">
        <w:rPr>
          <w:rFonts w:ascii="Times New Roman" w:hAnsi="Times New Roman" w:cs="Times New Roman"/>
          <w:sz w:val="28"/>
          <w:szCs w:val="28"/>
        </w:rPr>
        <w:t xml:space="preserve"> размерами от самого малого – №1 до №4,  таким образом, чтобы диаметр корневого канала не превосходил толщину стенок. </w:t>
      </w: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ab/>
        <w:t xml:space="preserve">После препарирования зуба под штифтовую вкладку дентин корневого канала и культи зуба двукратно покрывали поверхностным герметиком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Seal</w:t>
      </w:r>
      <w:r w:rsidRPr="00DB7C31">
        <w:rPr>
          <w:rFonts w:ascii="Times New Roman" w:hAnsi="Times New Roman" w:cs="Times New Roman"/>
          <w:sz w:val="28"/>
          <w:szCs w:val="28"/>
        </w:rPr>
        <w:t>&amp;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Protect</w:t>
      </w:r>
      <w:r w:rsidRPr="00DB7C31">
        <w:rPr>
          <w:rFonts w:ascii="Times New Roman" w:hAnsi="Times New Roman" w:cs="Times New Roman"/>
          <w:sz w:val="28"/>
          <w:szCs w:val="28"/>
        </w:rPr>
        <w:t xml:space="preserve"> (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Dentsply</w:t>
      </w:r>
      <w:r w:rsidRPr="00DB7C31">
        <w:rPr>
          <w:rFonts w:ascii="Times New Roman" w:hAnsi="Times New Roman" w:cs="Times New Roman"/>
          <w:sz w:val="28"/>
          <w:szCs w:val="28"/>
        </w:rPr>
        <w:t>). Полость закрывали временной пломбой из масляного дентина либо изготавливали временную коронку прямым методом. На следующих клинических и лабораторных этапах изготавливали и фиксировали штифтовую литую культевую вкладку и покрывную коронку.</w:t>
      </w: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ab/>
        <w:t>Объектом клинического исследования стали 2 группы пациентов:</w:t>
      </w: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>1) Основная группа – 50 пациентов с дефектами зубов и зубных рядов, которым подготовка опорных зубов проводилась по описанной выше методике с использованием поверхностного герметика, а именно:</w:t>
      </w:r>
      <w:r w:rsidR="00260ED2">
        <w:rPr>
          <w:rFonts w:ascii="Times New Roman" w:hAnsi="Times New Roman" w:cs="Times New Roman"/>
          <w:sz w:val="28"/>
          <w:szCs w:val="28"/>
        </w:rPr>
        <w:t xml:space="preserve"> </w:t>
      </w:r>
      <w:r w:rsidRPr="00DB7C31">
        <w:rPr>
          <w:rFonts w:ascii="Times New Roman" w:hAnsi="Times New Roman" w:cs="Times New Roman"/>
          <w:sz w:val="28"/>
          <w:szCs w:val="28"/>
        </w:rPr>
        <w:t xml:space="preserve"> препарирование зубов под штифтовые вкладки и обработка поверхностным герметиком</w:t>
      </w:r>
      <w:r w:rsidR="00260ED2">
        <w:rPr>
          <w:rFonts w:ascii="Times New Roman" w:hAnsi="Times New Roman" w:cs="Times New Roman"/>
          <w:sz w:val="28"/>
          <w:szCs w:val="28"/>
        </w:rPr>
        <w:t xml:space="preserve">, </w:t>
      </w:r>
      <w:r w:rsidRPr="00DB7C31">
        <w:rPr>
          <w:rFonts w:ascii="Times New Roman" w:hAnsi="Times New Roman" w:cs="Times New Roman"/>
          <w:sz w:val="28"/>
          <w:szCs w:val="28"/>
        </w:rPr>
        <w:t>снятие двойных оттисков С-силиконовой массой для изготовления штифтов</w:t>
      </w:r>
      <w:r w:rsidR="00260ED2">
        <w:rPr>
          <w:rFonts w:ascii="Times New Roman" w:hAnsi="Times New Roman" w:cs="Times New Roman"/>
          <w:sz w:val="28"/>
          <w:szCs w:val="28"/>
        </w:rPr>
        <w:t>ых вкладок, ф</w:t>
      </w:r>
      <w:r w:rsidRPr="00DB7C31">
        <w:rPr>
          <w:rFonts w:ascii="Times New Roman" w:hAnsi="Times New Roman" w:cs="Times New Roman"/>
          <w:sz w:val="28"/>
          <w:szCs w:val="28"/>
        </w:rPr>
        <w:t xml:space="preserve">иксация штифтовых </w:t>
      </w:r>
      <w:r w:rsidR="00260ED2">
        <w:rPr>
          <w:rFonts w:ascii="Times New Roman" w:hAnsi="Times New Roman" w:cs="Times New Roman"/>
          <w:sz w:val="28"/>
          <w:szCs w:val="28"/>
        </w:rPr>
        <w:t xml:space="preserve">вкладок композиционным цементом, </w:t>
      </w:r>
      <w:r w:rsidRPr="00DB7C31">
        <w:rPr>
          <w:rFonts w:ascii="Times New Roman" w:hAnsi="Times New Roman" w:cs="Times New Roman"/>
          <w:sz w:val="28"/>
          <w:szCs w:val="28"/>
        </w:rPr>
        <w:t>изготовление металлокерамических или цельнолитых коронок и мостовидных протезов.</w:t>
      </w: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>2) Контрольная группа – 50 пациентов, которым культи опорных зубов восстанавливали штифтовыми вкладками с последующим покрытием металлокерамическими или литыми коронками, подготовка зубов проводилась без использования поверхностного герметика.</w:t>
      </w: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ab/>
        <w:t xml:space="preserve">Данные анамнеза, осмотра, основных и дополнительных методов обследования заносили в медицинскую карту стоматологического больного. Пациентам основной </w:t>
      </w:r>
      <w:r w:rsidR="00A8625B">
        <w:rPr>
          <w:rFonts w:ascii="Times New Roman" w:hAnsi="Times New Roman" w:cs="Times New Roman"/>
          <w:sz w:val="28"/>
          <w:szCs w:val="28"/>
        </w:rPr>
        <w:t xml:space="preserve">и контрольной </w:t>
      </w:r>
      <w:r w:rsidRPr="00DB7C31">
        <w:rPr>
          <w:rFonts w:ascii="Times New Roman" w:hAnsi="Times New Roman" w:cs="Times New Roman"/>
          <w:sz w:val="28"/>
          <w:szCs w:val="28"/>
        </w:rPr>
        <w:t>группы предлагалось подписать протокол об информированном согласии.</w:t>
      </w:r>
    </w:p>
    <w:p w:rsidR="00DB7C31" w:rsidRPr="00DB7C31" w:rsidRDefault="00DB7C31" w:rsidP="0026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ab/>
        <w:t>Решение вопроса о включении пациентов с дефектами твердых тканей зубов и зубных рядов в исследование принималось в случае, когда зубы соответствовали следующим требованиям:</w:t>
      </w:r>
      <w:r w:rsidRPr="00DB7C31">
        <w:rPr>
          <w:rFonts w:ascii="Times New Roman" w:hAnsi="Times New Roman" w:cs="Times New Roman"/>
          <w:sz w:val="28"/>
          <w:szCs w:val="28"/>
        </w:rPr>
        <w:tab/>
      </w:r>
    </w:p>
    <w:p w:rsidR="00DB7C31" w:rsidRPr="00DB7C31" w:rsidRDefault="00DB7C31" w:rsidP="00260E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7C31">
        <w:rPr>
          <w:sz w:val="28"/>
          <w:szCs w:val="28"/>
        </w:rPr>
        <w:t>корневые каналы запломбированы гуттаперчей до физиологической верхушки;</w:t>
      </w:r>
    </w:p>
    <w:p w:rsidR="00DB7C31" w:rsidRPr="00DB7C31" w:rsidRDefault="00DB7C31" w:rsidP="00260E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7C31">
        <w:rPr>
          <w:sz w:val="28"/>
          <w:szCs w:val="28"/>
        </w:rPr>
        <w:t>нет воспалительных изменений в периапикальной области;</w:t>
      </w:r>
    </w:p>
    <w:p w:rsidR="00DB7C31" w:rsidRPr="00DB7C31" w:rsidRDefault="00DB7C31" w:rsidP="00260E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7C31">
        <w:rPr>
          <w:sz w:val="28"/>
          <w:szCs w:val="28"/>
        </w:rPr>
        <w:t>уровень разрушения твердых тканей не ниже уровня десны;</w:t>
      </w:r>
    </w:p>
    <w:p w:rsidR="00DB7C31" w:rsidRPr="00DB7C31" w:rsidRDefault="00DB7C31" w:rsidP="00260E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7C31">
        <w:rPr>
          <w:sz w:val="28"/>
          <w:szCs w:val="28"/>
        </w:rPr>
        <w:t>отсутствие патологической подвижности;</w:t>
      </w:r>
    </w:p>
    <w:p w:rsidR="00DB7C31" w:rsidRPr="00DB7C31" w:rsidRDefault="00DB7C31" w:rsidP="00260E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B7C31">
        <w:rPr>
          <w:sz w:val="28"/>
          <w:szCs w:val="28"/>
        </w:rPr>
        <w:t>корневой канал прямой в пределах 2/3 длины корня.</w:t>
      </w:r>
    </w:p>
    <w:p w:rsidR="00DB7C31" w:rsidRPr="00DB7C31" w:rsidRDefault="00DB7C31" w:rsidP="00170E97">
      <w:pPr>
        <w:pStyle w:val="a3"/>
        <w:ind w:left="0" w:firstLine="720"/>
        <w:jc w:val="both"/>
        <w:rPr>
          <w:sz w:val="28"/>
          <w:szCs w:val="28"/>
        </w:rPr>
      </w:pPr>
      <w:r w:rsidRPr="00DB7C31">
        <w:rPr>
          <w:sz w:val="28"/>
          <w:szCs w:val="28"/>
        </w:rPr>
        <w:t>В исследования не включались пациенты с дефектами твердых тканей и зубных  рядов, депульпированные зубы которых:</w:t>
      </w:r>
      <w:r w:rsidR="00170E97">
        <w:rPr>
          <w:sz w:val="28"/>
          <w:szCs w:val="28"/>
        </w:rPr>
        <w:t xml:space="preserve"> 1) </w:t>
      </w:r>
      <w:r w:rsidRPr="00DB7C31">
        <w:rPr>
          <w:sz w:val="28"/>
          <w:szCs w:val="28"/>
        </w:rPr>
        <w:t>подвергались многократным эндодонтическим вмешательствам, в том числе с использованием резорцин-формалинового метода;</w:t>
      </w:r>
      <w:r w:rsidR="00170E97">
        <w:rPr>
          <w:sz w:val="28"/>
          <w:szCs w:val="28"/>
        </w:rPr>
        <w:t xml:space="preserve"> 2) </w:t>
      </w:r>
      <w:r w:rsidRPr="00DB7C31">
        <w:rPr>
          <w:sz w:val="28"/>
          <w:szCs w:val="28"/>
        </w:rPr>
        <w:t xml:space="preserve">имели аномальную </w:t>
      </w:r>
      <w:r w:rsidRPr="00DB7C31">
        <w:rPr>
          <w:sz w:val="28"/>
          <w:szCs w:val="28"/>
        </w:rPr>
        <w:lastRenderedPageBreak/>
        <w:t>форму, размеры, положение;</w:t>
      </w:r>
      <w:r w:rsidR="00170E97">
        <w:rPr>
          <w:sz w:val="28"/>
          <w:szCs w:val="28"/>
        </w:rPr>
        <w:t xml:space="preserve"> 3) </w:t>
      </w:r>
      <w:r w:rsidRPr="00DB7C31">
        <w:rPr>
          <w:sz w:val="28"/>
          <w:szCs w:val="28"/>
        </w:rPr>
        <w:t>культю ниже уровня десны;</w:t>
      </w:r>
      <w:r w:rsidR="00170E97">
        <w:rPr>
          <w:sz w:val="28"/>
          <w:szCs w:val="28"/>
        </w:rPr>
        <w:t xml:space="preserve"> 4) </w:t>
      </w:r>
      <w:r w:rsidRPr="00DB7C31">
        <w:rPr>
          <w:sz w:val="28"/>
          <w:szCs w:val="28"/>
        </w:rPr>
        <w:t>низкую клиническую коронку;</w:t>
      </w:r>
      <w:r w:rsidR="00170E97">
        <w:rPr>
          <w:sz w:val="28"/>
          <w:szCs w:val="28"/>
        </w:rPr>
        <w:t xml:space="preserve"> 5) </w:t>
      </w:r>
      <w:r w:rsidRPr="00DB7C31">
        <w:rPr>
          <w:sz w:val="28"/>
          <w:szCs w:val="28"/>
        </w:rPr>
        <w:t>зубы после зубосохраняющих операций.</w:t>
      </w:r>
    </w:p>
    <w:p w:rsidR="00DB7C31" w:rsidRPr="00DB7C31" w:rsidRDefault="00DB7C31" w:rsidP="00260ED2">
      <w:pPr>
        <w:pStyle w:val="a3"/>
        <w:ind w:left="0" w:firstLine="709"/>
        <w:jc w:val="both"/>
        <w:rPr>
          <w:sz w:val="28"/>
          <w:szCs w:val="28"/>
        </w:rPr>
      </w:pPr>
      <w:r w:rsidRPr="00DB7C31">
        <w:rPr>
          <w:sz w:val="28"/>
          <w:szCs w:val="28"/>
        </w:rPr>
        <w:t xml:space="preserve">Пациентам основной и контрольной групп изготавливали также мостовидные протезы с включенными дефектами зубных рядов (протяженность - не более 2-х зубов). Планирование конструкции мостовидных протезов осуществлялось с применением таблиц жевательных индексов Н.И. Агапова и И.М. Оксмана, площади периодонтальной поддержки  по </w:t>
      </w:r>
      <w:r w:rsidRPr="00DB7C31">
        <w:rPr>
          <w:sz w:val="28"/>
          <w:szCs w:val="28"/>
          <w:lang w:val="en-US"/>
        </w:rPr>
        <w:t>A</w:t>
      </w:r>
      <w:r w:rsidRPr="00DB7C31">
        <w:rPr>
          <w:sz w:val="28"/>
          <w:szCs w:val="28"/>
        </w:rPr>
        <w:t xml:space="preserve">. </w:t>
      </w:r>
      <w:r w:rsidRPr="00DB7C31">
        <w:rPr>
          <w:sz w:val="28"/>
          <w:szCs w:val="28"/>
          <w:lang w:val="en-US"/>
        </w:rPr>
        <w:t>Jepsen</w:t>
      </w:r>
      <w:r w:rsidRPr="00DB7C31">
        <w:rPr>
          <w:sz w:val="28"/>
          <w:szCs w:val="28"/>
        </w:rPr>
        <w:t xml:space="preserve"> (1963) для опорных зубов с учетом состояния антагонистов. В исследование не включались пациенты, которым изготавливали мостовидные протезы с односторонней опорой.</w:t>
      </w:r>
    </w:p>
    <w:p w:rsidR="00DB7C31" w:rsidRPr="00DB7C31" w:rsidRDefault="00DB7C31" w:rsidP="00260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>На контрольных осмотрах через 6, 12, 24</w:t>
      </w:r>
      <w:r w:rsidR="00A8625B">
        <w:rPr>
          <w:rFonts w:ascii="Times New Roman" w:hAnsi="Times New Roman" w:cs="Times New Roman"/>
          <w:sz w:val="28"/>
          <w:szCs w:val="28"/>
        </w:rPr>
        <w:t>, 36</w:t>
      </w:r>
      <w:r w:rsidRPr="00DB7C31">
        <w:rPr>
          <w:rFonts w:ascii="Times New Roman" w:hAnsi="Times New Roman" w:cs="Times New Roman"/>
          <w:sz w:val="28"/>
          <w:szCs w:val="28"/>
        </w:rPr>
        <w:t xml:space="preserve"> мес</w:t>
      </w:r>
      <w:r w:rsidR="00A8625B">
        <w:rPr>
          <w:rFonts w:ascii="Times New Roman" w:hAnsi="Times New Roman" w:cs="Times New Roman"/>
          <w:sz w:val="28"/>
          <w:szCs w:val="28"/>
        </w:rPr>
        <w:t>яцев</w:t>
      </w:r>
      <w:r w:rsidRPr="00DB7C31">
        <w:rPr>
          <w:rFonts w:ascii="Times New Roman" w:hAnsi="Times New Roman" w:cs="Times New Roman"/>
          <w:sz w:val="28"/>
          <w:szCs w:val="28"/>
        </w:rPr>
        <w:t xml:space="preserve"> после фиксации оценивали наличие жалоб, проводили основные (осмотр, зондирование, перкуссия) и дополнительные (прицельная внутриротовая рентгенография, ортопантомография – по показаниям) методы обследования, фиксировали осложнения после проведенного ортопедического лечения пациентов основной и контрольной группы, таких как: обострение хронического периодонтита, хронический гранулематозный и гранулирующий периодонтит, кистогранулема, кариес корня, расцементировка ортопедической конструкции, перелом корня, перфорация корня. </w:t>
      </w:r>
    </w:p>
    <w:p w:rsidR="00DB7C31" w:rsidRPr="00DB7C31" w:rsidRDefault="00DB7C31" w:rsidP="00260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 xml:space="preserve">Оценивали краевую адаптацию изготовленных конструкций непосредственно во время припасовки конструкций, через 6, 12 и 24 месяца после завершения лечения, используя критерии качества, разработанные А.Н. Ряховским и М.М. Антоник (2005). </w:t>
      </w:r>
    </w:p>
    <w:p w:rsidR="00DB7C31" w:rsidRPr="00DB7C31" w:rsidRDefault="00DB7C31" w:rsidP="00260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>Для оценки качества проведенных эндодонтических вмешательств перед ортопедическим лечением, а также состояния периапикальных тканей и твердых тканей корня зуба, покрытого коронкой, в пришеечной части после проведенного лечения, наличия скрытых кариозных полостей проводили прицельные внутриротовые и панорамные рентгеновские снимки.</w:t>
      </w:r>
    </w:p>
    <w:p w:rsidR="00DB7C31" w:rsidRPr="00A820D4" w:rsidRDefault="00DB7C31" w:rsidP="00260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C31">
        <w:rPr>
          <w:rFonts w:ascii="Times New Roman" w:hAnsi="Times New Roman" w:cs="Times New Roman"/>
          <w:sz w:val="28"/>
          <w:szCs w:val="28"/>
        </w:rPr>
        <w:t xml:space="preserve">Оценку достоверности различий показателей в основной и контрольной группах проводили с установлением </w:t>
      </w:r>
      <w:r w:rsidRPr="00DB7C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B7C31">
        <w:rPr>
          <w:rFonts w:ascii="Times New Roman" w:hAnsi="Times New Roman" w:cs="Times New Roman"/>
          <w:sz w:val="28"/>
          <w:szCs w:val="28"/>
        </w:rPr>
        <w:t>-критерия Стьюдента в случаях, когда данные исследования подчинялись закону нормального распределения Гаусса (критерий Шапиро-Вилкса, р&lt;0,05). В работе также использовали непараметрический критерий Манна-Уитни для независимых выборок в случаях, когда данные исследования не соответствовали нормальному закону распределения.</w:t>
      </w:r>
      <w:r w:rsidR="0067727D">
        <w:rPr>
          <w:rFonts w:ascii="Times New Roman" w:hAnsi="Times New Roman" w:cs="Times New Roman"/>
          <w:sz w:val="28"/>
          <w:szCs w:val="28"/>
        </w:rPr>
        <w:t xml:space="preserve"> </w:t>
      </w:r>
      <w:r w:rsidR="00A820D4" w:rsidRPr="00A820D4">
        <w:rPr>
          <w:rFonts w:ascii="Times New Roman" w:hAnsi="Times New Roman" w:cs="Times New Roman"/>
          <w:sz w:val="28"/>
          <w:szCs w:val="28"/>
        </w:rPr>
        <w:t xml:space="preserve">Статистическую обработку данных проводили на персональном компьютере с использованием пакета статистических программ </w:t>
      </w:r>
      <w:r w:rsidR="00A820D4" w:rsidRPr="00A820D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820D4" w:rsidRPr="00A820D4">
        <w:rPr>
          <w:rFonts w:ascii="Times New Roman" w:hAnsi="Times New Roman" w:cs="Times New Roman"/>
          <w:sz w:val="28"/>
          <w:szCs w:val="28"/>
        </w:rPr>
        <w:t xml:space="preserve"> </w:t>
      </w:r>
      <w:r w:rsidR="00A820D4" w:rsidRPr="00A820D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A820D4" w:rsidRPr="00A820D4">
        <w:rPr>
          <w:rFonts w:ascii="Times New Roman" w:hAnsi="Times New Roman" w:cs="Times New Roman"/>
          <w:sz w:val="28"/>
          <w:szCs w:val="28"/>
        </w:rPr>
        <w:t xml:space="preserve"> </w:t>
      </w:r>
      <w:r w:rsidR="00A820D4" w:rsidRPr="00A820D4">
        <w:rPr>
          <w:rFonts w:ascii="Times New Roman" w:hAnsi="Times New Roman" w:cs="Times New Roman"/>
          <w:sz w:val="28"/>
          <w:szCs w:val="28"/>
          <w:lang w:val="en-US"/>
        </w:rPr>
        <w:t>Excell</w:t>
      </w:r>
      <w:r w:rsidR="00A820D4" w:rsidRPr="00A820D4">
        <w:rPr>
          <w:rFonts w:ascii="Times New Roman" w:hAnsi="Times New Roman" w:cs="Times New Roman"/>
          <w:sz w:val="28"/>
          <w:szCs w:val="28"/>
        </w:rPr>
        <w:t xml:space="preserve"> 2007, </w:t>
      </w:r>
      <w:r w:rsidR="00A820D4" w:rsidRPr="00A820D4">
        <w:rPr>
          <w:rFonts w:ascii="Times New Roman" w:hAnsi="Times New Roman" w:cs="Times New Roman"/>
          <w:sz w:val="28"/>
          <w:szCs w:val="28"/>
          <w:lang w:val="en-US"/>
        </w:rPr>
        <w:t>StatSoft</w:t>
      </w:r>
      <w:r w:rsidR="00A820D4" w:rsidRPr="00A820D4">
        <w:rPr>
          <w:rFonts w:ascii="Times New Roman" w:hAnsi="Times New Roman" w:cs="Times New Roman"/>
          <w:sz w:val="28"/>
          <w:szCs w:val="28"/>
        </w:rPr>
        <w:t xml:space="preserve"> </w:t>
      </w:r>
      <w:r w:rsidR="00A820D4" w:rsidRPr="00A820D4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="00A820D4" w:rsidRPr="00A820D4">
        <w:rPr>
          <w:rFonts w:ascii="Times New Roman" w:hAnsi="Times New Roman" w:cs="Times New Roman"/>
          <w:sz w:val="28"/>
          <w:szCs w:val="28"/>
        </w:rPr>
        <w:t xml:space="preserve"> </w:t>
      </w:r>
      <w:r w:rsidR="00A820D4" w:rsidRPr="00A820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820D4" w:rsidRPr="00A820D4">
        <w:rPr>
          <w:rFonts w:ascii="Times New Roman" w:hAnsi="Times New Roman" w:cs="Times New Roman"/>
          <w:sz w:val="28"/>
          <w:szCs w:val="28"/>
        </w:rPr>
        <w:t xml:space="preserve"> 10 для </w:t>
      </w:r>
      <w:r w:rsidR="00A820D4" w:rsidRPr="00A820D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A820D4" w:rsidRPr="00A820D4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DE351C" w:rsidRPr="00C64D11" w:rsidRDefault="00DE351C" w:rsidP="007E6C1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4D11">
        <w:rPr>
          <w:rFonts w:ascii="Times New Roman" w:hAnsi="Times New Roman" w:cs="Times New Roman"/>
          <w:b/>
          <w:caps/>
          <w:sz w:val="28"/>
          <w:szCs w:val="28"/>
        </w:rPr>
        <w:t>Результаты собственных исследований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Данные о</w:t>
      </w:r>
      <w:r w:rsidRPr="00930E2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причинах проведения эндодонтических вмешательств, </w:t>
      </w:r>
      <w:r w:rsidRPr="00930E2A">
        <w:rPr>
          <w:rFonts w:ascii="Times New Roman" w:hAnsi="Times New Roman" w:cs="Times New Roman"/>
          <w:iCs/>
          <w:sz w:val="28"/>
          <w:szCs w:val="28"/>
        </w:rPr>
        <w:t>частот</w:t>
      </w:r>
      <w:r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930E2A">
        <w:rPr>
          <w:rFonts w:ascii="Times New Roman" w:hAnsi="Times New Roman" w:cs="Times New Roman"/>
          <w:iCs/>
          <w:sz w:val="28"/>
          <w:szCs w:val="28"/>
        </w:rPr>
        <w:t xml:space="preserve">применения различных </w:t>
      </w:r>
      <w:r>
        <w:rPr>
          <w:rFonts w:ascii="Times New Roman" w:hAnsi="Times New Roman" w:cs="Times New Roman"/>
          <w:iCs/>
          <w:sz w:val="28"/>
          <w:szCs w:val="28"/>
        </w:rPr>
        <w:t>методов пломбирования каналов</w:t>
      </w:r>
      <w:r w:rsidRPr="00930E2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получены на основании</w:t>
      </w:r>
      <w:r w:rsidRPr="00930E2A">
        <w:rPr>
          <w:rFonts w:ascii="Times New Roman" w:hAnsi="Times New Roman" w:cs="Times New Roman"/>
          <w:iCs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930E2A">
        <w:rPr>
          <w:rFonts w:ascii="Times New Roman" w:hAnsi="Times New Roman" w:cs="Times New Roman"/>
          <w:iCs/>
          <w:sz w:val="28"/>
          <w:szCs w:val="28"/>
        </w:rPr>
        <w:t xml:space="preserve"> медицинской документации  в медицинских учреждениях различных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>. Результаты представлены в таблицах 2 и 3.</w:t>
      </w:r>
    </w:p>
    <w:p w:rsidR="007E6C1C" w:rsidRDefault="007E6C1C" w:rsidP="007E6C1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  <w:t>Чаще всего эндодонтические вмешательства применяются по поводу различных форм периодонтитов как в Смоленской областной кли</w:t>
      </w:r>
      <w:r w:rsidR="004C3E41">
        <w:rPr>
          <w:rFonts w:ascii="Times New Roman" w:hAnsi="Times New Roman" w:cs="Times New Roman"/>
          <w:iCs/>
          <w:sz w:val="28"/>
          <w:szCs w:val="28"/>
        </w:rPr>
        <w:t>ни</w:t>
      </w:r>
      <w:r>
        <w:rPr>
          <w:rFonts w:ascii="Times New Roman" w:hAnsi="Times New Roman" w:cs="Times New Roman"/>
          <w:iCs/>
          <w:sz w:val="28"/>
          <w:szCs w:val="28"/>
        </w:rPr>
        <w:t>ческой стоматологической поликлинике (54,69</w:t>
      </w:r>
      <w:r>
        <w:rPr>
          <w:rFonts w:ascii="Times New Roman" w:hAnsi="Times New Roman" w:cs="Times New Roman"/>
          <w:sz w:val="28"/>
          <w:szCs w:val="28"/>
        </w:rPr>
        <w:t>±5,23</w:t>
      </w:r>
      <w:r>
        <w:rPr>
          <w:rFonts w:ascii="Times New Roman" w:hAnsi="Times New Roman" w:cs="Times New Roman"/>
          <w:iCs/>
          <w:sz w:val="28"/>
          <w:szCs w:val="28"/>
        </w:rPr>
        <w:t>%), так и в частном стоматологическом кабинете (64,09</w:t>
      </w:r>
      <w:r>
        <w:rPr>
          <w:rFonts w:ascii="Times New Roman" w:hAnsi="Times New Roman" w:cs="Times New Roman"/>
          <w:sz w:val="28"/>
          <w:szCs w:val="28"/>
        </w:rPr>
        <w:t>±4,73</w:t>
      </w:r>
      <w:r>
        <w:rPr>
          <w:rFonts w:ascii="Times New Roman" w:hAnsi="Times New Roman" w:cs="Times New Roman"/>
          <w:iCs/>
          <w:sz w:val="28"/>
          <w:szCs w:val="28"/>
        </w:rPr>
        <w:t>%). Реже (40,62</w:t>
      </w:r>
      <w:r>
        <w:rPr>
          <w:rFonts w:ascii="Times New Roman" w:hAnsi="Times New Roman" w:cs="Times New Roman"/>
          <w:sz w:val="28"/>
          <w:szCs w:val="28"/>
        </w:rPr>
        <w:t>±3,44</w:t>
      </w:r>
      <w:r>
        <w:rPr>
          <w:rFonts w:ascii="Times New Roman" w:hAnsi="Times New Roman" w:cs="Times New Roman"/>
          <w:iCs/>
          <w:sz w:val="28"/>
          <w:szCs w:val="28"/>
        </w:rPr>
        <w:t>% и 27,02</w:t>
      </w:r>
      <w:r>
        <w:rPr>
          <w:rFonts w:ascii="Times New Roman" w:hAnsi="Times New Roman" w:cs="Times New Roman"/>
          <w:sz w:val="28"/>
          <w:szCs w:val="28"/>
        </w:rPr>
        <w:t>±4,46</w:t>
      </w:r>
      <w:r>
        <w:rPr>
          <w:rFonts w:ascii="Times New Roman" w:hAnsi="Times New Roman" w:cs="Times New Roman"/>
          <w:iCs/>
          <w:sz w:val="28"/>
          <w:szCs w:val="28"/>
        </w:rPr>
        <w:t>% соответственно) эндодонтические вмешательства применяются по поводу острого и хронического пульпитов. Депульпация зубов по ортопедическим показаниям применяется значительно реже – в 4,69</w:t>
      </w:r>
      <w:r>
        <w:rPr>
          <w:rFonts w:ascii="Times New Roman" w:hAnsi="Times New Roman" w:cs="Times New Roman"/>
          <w:sz w:val="28"/>
          <w:szCs w:val="28"/>
        </w:rPr>
        <w:t>±0,17</w:t>
      </w:r>
      <w:r>
        <w:rPr>
          <w:rFonts w:ascii="Times New Roman" w:hAnsi="Times New Roman" w:cs="Times New Roman"/>
          <w:iCs/>
          <w:sz w:val="28"/>
          <w:szCs w:val="28"/>
        </w:rPr>
        <w:t>% и 8,95</w:t>
      </w:r>
      <w:r>
        <w:rPr>
          <w:rFonts w:ascii="Times New Roman" w:hAnsi="Times New Roman" w:cs="Times New Roman"/>
          <w:sz w:val="28"/>
          <w:szCs w:val="28"/>
        </w:rPr>
        <w:t>±1,58</w:t>
      </w:r>
      <w:r>
        <w:rPr>
          <w:rFonts w:ascii="Times New Roman" w:hAnsi="Times New Roman" w:cs="Times New Roman"/>
          <w:iCs/>
          <w:sz w:val="28"/>
          <w:szCs w:val="28"/>
        </w:rPr>
        <w:t>% соответственно.</w:t>
      </w:r>
    </w:p>
    <w:p w:rsidR="00DE351C" w:rsidRDefault="00DE351C" w:rsidP="007E6C1C">
      <w:pPr>
        <w:spacing w:before="120" w:after="0" w:line="240" w:lineRule="auto"/>
        <w:ind w:left="2552" w:hanging="184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№2 - Причина эндодонтических вмешательств в лечебных учреждениях различных форм собственности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51C" w:rsidRPr="00930E2A" w:rsidTr="00623CFD">
        <w:tc>
          <w:tcPr>
            <w:tcW w:w="3190" w:type="dxa"/>
            <w:tcBorders>
              <w:tl2br w:val="single" w:sz="4" w:space="0" w:color="auto"/>
            </w:tcBorders>
          </w:tcPr>
          <w:p w:rsidR="00DE351C" w:rsidRPr="00A820D4" w:rsidRDefault="00DE351C" w:rsidP="0062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D4">
              <w:rPr>
                <w:rFonts w:ascii="Times New Roman" w:hAnsi="Times New Roman" w:cs="Times New Roman"/>
                <w:sz w:val="24"/>
                <w:szCs w:val="24"/>
              </w:rPr>
              <w:t xml:space="preserve">           Учреждение</w:t>
            </w:r>
          </w:p>
          <w:p w:rsidR="00A820D4" w:rsidRDefault="00DE351C" w:rsidP="0062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0D4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A820D4" w:rsidRDefault="00A820D4" w:rsidP="0062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351C" w:rsidRPr="00A820D4">
              <w:rPr>
                <w:rFonts w:ascii="Times New Roman" w:hAnsi="Times New Roman" w:cs="Times New Roman"/>
                <w:sz w:val="24"/>
                <w:szCs w:val="24"/>
              </w:rPr>
              <w:t>ндодонтичес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351C" w:rsidRPr="00930E2A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D4">
              <w:rPr>
                <w:rFonts w:ascii="Times New Roman" w:hAnsi="Times New Roman" w:cs="Times New Roman"/>
                <w:sz w:val="24"/>
                <w:szCs w:val="24"/>
              </w:rPr>
              <w:t>ких вмешательств</w:t>
            </w:r>
          </w:p>
        </w:tc>
        <w:tc>
          <w:tcPr>
            <w:tcW w:w="3190" w:type="dxa"/>
            <w:vAlign w:val="center"/>
          </w:tcPr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СОКСП</w:t>
            </w:r>
          </w:p>
        </w:tc>
        <w:tc>
          <w:tcPr>
            <w:tcW w:w="3191" w:type="dxa"/>
            <w:vAlign w:val="center"/>
          </w:tcPr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ЧСК</w:t>
            </w:r>
          </w:p>
        </w:tc>
      </w:tr>
      <w:tr w:rsidR="00DE351C" w:rsidRPr="00930E2A" w:rsidTr="00623CFD">
        <w:tc>
          <w:tcPr>
            <w:tcW w:w="3190" w:type="dxa"/>
          </w:tcPr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Пульпит:</w:t>
            </w:r>
          </w:p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острый</w:t>
            </w:r>
          </w:p>
          <w:p w:rsidR="00DE351C" w:rsidRPr="00930E2A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хронический</w:t>
            </w:r>
          </w:p>
        </w:tc>
        <w:tc>
          <w:tcPr>
            <w:tcW w:w="3190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40,62±3,44%</w:t>
            </w:r>
          </w:p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1,04±0,12%</w:t>
            </w:r>
          </w:p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39,58±3,15%</w:t>
            </w:r>
          </w:p>
        </w:tc>
        <w:tc>
          <w:tcPr>
            <w:tcW w:w="3191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27,02±4,46%</w:t>
            </w:r>
          </w:p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27,02±4,46%</w:t>
            </w:r>
          </w:p>
        </w:tc>
      </w:tr>
      <w:tr w:rsidR="00DE351C" w:rsidRPr="00930E2A" w:rsidTr="00623CFD">
        <w:tc>
          <w:tcPr>
            <w:tcW w:w="3190" w:type="dxa"/>
          </w:tcPr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Периодонтит:</w:t>
            </w:r>
          </w:p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фиброзный</w:t>
            </w:r>
          </w:p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гранулирующий</w:t>
            </w:r>
          </w:p>
          <w:p w:rsidR="00DE351C" w:rsidRPr="00930E2A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гранулематозный</w:t>
            </w:r>
          </w:p>
        </w:tc>
        <w:tc>
          <w:tcPr>
            <w:tcW w:w="3190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54,69±5,23%</w:t>
            </w:r>
          </w:p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36,46±3,57%</w:t>
            </w:r>
          </w:p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16,67±1,25%</w:t>
            </w:r>
          </w:p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1,56±0,22%</w:t>
            </w:r>
          </w:p>
        </w:tc>
        <w:tc>
          <w:tcPr>
            <w:tcW w:w="3191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64,09±4,73%</w:t>
            </w:r>
          </w:p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45,87±6,17%</w:t>
            </w:r>
          </w:p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12,38±2,38%</w:t>
            </w:r>
          </w:p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5,84±0,71%</w:t>
            </w:r>
          </w:p>
        </w:tc>
      </w:tr>
      <w:tr w:rsidR="00DE351C" w:rsidRPr="00930E2A" w:rsidTr="00623CFD">
        <w:tc>
          <w:tcPr>
            <w:tcW w:w="3190" w:type="dxa"/>
          </w:tcPr>
          <w:p w:rsidR="00DE351C" w:rsidRPr="00930E2A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Депульпация по ортопедическим показаниям</w:t>
            </w:r>
          </w:p>
        </w:tc>
        <w:tc>
          <w:tcPr>
            <w:tcW w:w="3190" w:type="dxa"/>
            <w:vAlign w:val="center"/>
          </w:tcPr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4,69±0,17%</w:t>
            </w:r>
          </w:p>
        </w:tc>
        <w:tc>
          <w:tcPr>
            <w:tcW w:w="3191" w:type="dxa"/>
            <w:vAlign w:val="center"/>
          </w:tcPr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8,95±1,58%</w:t>
            </w:r>
          </w:p>
        </w:tc>
      </w:tr>
      <w:tr w:rsidR="00DE351C" w:rsidRPr="00930E2A" w:rsidTr="00623CFD">
        <w:tc>
          <w:tcPr>
            <w:tcW w:w="3190" w:type="dxa"/>
          </w:tcPr>
          <w:p w:rsidR="00DE351C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зубов</w:t>
            </w:r>
          </w:p>
        </w:tc>
        <w:tc>
          <w:tcPr>
            <w:tcW w:w="3190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191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проведенного ретроспективного анализа 500 медицинских карт для</w:t>
      </w:r>
      <w:r w:rsidRPr="0031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частоты применения различных методов обтурации корневых каналов можно констатировать, что чаще применяется метод латеральной конденсации гуттаперчи как в СОКСП (82,16%), так и в ЧСК (99,20%). До сих пор в СОКСП находят применение резорцин-формалиновый метод и метод пломбирования корневых каналов одной пастой (цинкоксидэвгеноловой). В ЧСК данные методы используются эпизодически или не используются (таблица 3).</w:t>
      </w:r>
    </w:p>
    <w:p w:rsidR="007E3222" w:rsidRPr="007E3222" w:rsidRDefault="007E3222" w:rsidP="007E6C1C">
      <w:pPr>
        <w:spacing w:after="0" w:line="240" w:lineRule="auto"/>
        <w:ind w:left="2694" w:hanging="1985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DE351C" w:rsidRDefault="00DE351C" w:rsidP="007E6C1C">
      <w:pPr>
        <w:spacing w:after="0" w:line="240" w:lineRule="auto"/>
        <w:ind w:left="2694" w:hanging="198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№3 - Частота применения различных методов эндодонтического лечения в лечебных учреждениях различных форм собственности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8"/>
      </w:tblGrid>
      <w:tr w:rsidR="00DE351C" w:rsidTr="00A8625B">
        <w:tc>
          <w:tcPr>
            <w:tcW w:w="6062" w:type="dxa"/>
            <w:tcBorders>
              <w:tl2br w:val="single" w:sz="4" w:space="0" w:color="auto"/>
            </w:tcBorders>
          </w:tcPr>
          <w:p w:rsidR="00DE351C" w:rsidRPr="00930E2A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8625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30E2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</w:p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обтурации</w:t>
            </w:r>
          </w:p>
          <w:p w:rsidR="00DE351C" w:rsidRPr="00930E2A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корневых каналов</w:t>
            </w:r>
          </w:p>
        </w:tc>
        <w:tc>
          <w:tcPr>
            <w:tcW w:w="1701" w:type="dxa"/>
          </w:tcPr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СОКСП</w:t>
            </w:r>
          </w:p>
        </w:tc>
        <w:tc>
          <w:tcPr>
            <w:tcW w:w="1808" w:type="dxa"/>
          </w:tcPr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ЧСК</w:t>
            </w:r>
          </w:p>
        </w:tc>
      </w:tr>
      <w:tr w:rsidR="00DE351C" w:rsidTr="00A8625B">
        <w:tc>
          <w:tcPr>
            <w:tcW w:w="6062" w:type="dxa"/>
          </w:tcPr>
          <w:p w:rsidR="00DE351C" w:rsidRPr="00930E2A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Резорцин-формалиновый метод</w:t>
            </w:r>
          </w:p>
        </w:tc>
        <w:tc>
          <w:tcPr>
            <w:tcW w:w="1701" w:type="dxa"/>
            <w:vAlign w:val="center"/>
          </w:tcPr>
          <w:p w:rsidR="00DE351C" w:rsidRPr="00930E2A" w:rsidRDefault="00DE351C" w:rsidP="001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15,49%</w:t>
            </w:r>
          </w:p>
        </w:tc>
        <w:tc>
          <w:tcPr>
            <w:tcW w:w="1808" w:type="dxa"/>
            <w:vAlign w:val="center"/>
          </w:tcPr>
          <w:p w:rsidR="00DE351C" w:rsidRPr="00930E2A" w:rsidRDefault="00DE351C" w:rsidP="001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0,80%</w:t>
            </w:r>
          </w:p>
        </w:tc>
      </w:tr>
      <w:tr w:rsidR="00DE351C" w:rsidTr="00A8625B">
        <w:tc>
          <w:tcPr>
            <w:tcW w:w="6062" w:type="dxa"/>
          </w:tcPr>
          <w:p w:rsidR="00DE351C" w:rsidRPr="00930E2A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латеральной конденсации гуттаперчи</w:t>
            </w:r>
          </w:p>
        </w:tc>
        <w:tc>
          <w:tcPr>
            <w:tcW w:w="1701" w:type="dxa"/>
            <w:vAlign w:val="center"/>
          </w:tcPr>
          <w:p w:rsidR="00DE351C" w:rsidRPr="00930E2A" w:rsidRDefault="00DE351C" w:rsidP="001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82,16%</w:t>
            </w:r>
          </w:p>
        </w:tc>
        <w:tc>
          <w:tcPr>
            <w:tcW w:w="1808" w:type="dxa"/>
            <w:vAlign w:val="center"/>
          </w:tcPr>
          <w:p w:rsidR="00DE351C" w:rsidRPr="00930E2A" w:rsidRDefault="00DE351C" w:rsidP="001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99,20%</w:t>
            </w:r>
          </w:p>
        </w:tc>
      </w:tr>
      <w:tr w:rsidR="00DE351C" w:rsidTr="00A8625B">
        <w:tc>
          <w:tcPr>
            <w:tcW w:w="6062" w:type="dxa"/>
          </w:tcPr>
          <w:p w:rsidR="00DE351C" w:rsidRPr="00930E2A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Пломбирование пастой (цинкоксидэвгенольная)</w:t>
            </w:r>
          </w:p>
        </w:tc>
        <w:tc>
          <w:tcPr>
            <w:tcW w:w="1701" w:type="dxa"/>
            <w:vAlign w:val="center"/>
          </w:tcPr>
          <w:p w:rsidR="00DE351C" w:rsidRPr="00930E2A" w:rsidRDefault="00DE351C" w:rsidP="001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2,35%</w:t>
            </w:r>
          </w:p>
        </w:tc>
        <w:tc>
          <w:tcPr>
            <w:tcW w:w="1808" w:type="dxa"/>
            <w:vAlign w:val="center"/>
          </w:tcPr>
          <w:p w:rsidR="00DE351C" w:rsidRPr="00930E2A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7E3222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51C" w:rsidRDefault="007E3222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351C">
        <w:rPr>
          <w:rFonts w:ascii="Times New Roman" w:hAnsi="Times New Roman" w:cs="Times New Roman"/>
          <w:sz w:val="28"/>
          <w:szCs w:val="28"/>
        </w:rPr>
        <w:t>Что касается частоты развития осложнений</w:t>
      </w:r>
      <w:r w:rsidR="00A8625B">
        <w:rPr>
          <w:rFonts w:ascii="Times New Roman" w:hAnsi="Times New Roman" w:cs="Times New Roman"/>
          <w:sz w:val="28"/>
          <w:szCs w:val="28"/>
        </w:rPr>
        <w:t xml:space="preserve"> </w:t>
      </w:r>
      <w:r w:rsidR="00DE351C">
        <w:rPr>
          <w:rFonts w:ascii="Times New Roman" w:hAnsi="Times New Roman" w:cs="Times New Roman"/>
          <w:sz w:val="28"/>
          <w:szCs w:val="28"/>
        </w:rPr>
        <w:t xml:space="preserve">после депульпирования зубов, а также дальнейшего использования зубов для целей ортопедического лечения, то по данным медицинских карт это сделать не представилось возможным (из-за малого количества записей в картах, а также единичных задокументированных случаях осложнений). </w:t>
      </w:r>
      <w:r w:rsidR="00DE351C">
        <w:rPr>
          <w:rFonts w:ascii="Times New Roman" w:hAnsi="Times New Roman" w:cs="Times New Roman"/>
          <w:sz w:val="28"/>
          <w:szCs w:val="28"/>
        </w:rPr>
        <w:tab/>
        <w:t>Последнее может быть связано с возможностью пациента обратиться за медицинской помощью в любое стоматологическое учреждение.  Косвенно о наличии осложнений можно судить по высокому проценту эндодонтических вмешательств по поводу гранулирующего (12,38±2,38%</w:t>
      </w:r>
      <w:r w:rsidR="006F792C">
        <w:rPr>
          <w:rFonts w:ascii="Times New Roman" w:hAnsi="Times New Roman" w:cs="Times New Roman"/>
          <w:sz w:val="28"/>
          <w:szCs w:val="28"/>
        </w:rPr>
        <w:t xml:space="preserve"> в ЧСК и</w:t>
      </w:r>
      <w:r w:rsidR="00DE351C">
        <w:rPr>
          <w:rFonts w:ascii="Times New Roman" w:hAnsi="Times New Roman" w:cs="Times New Roman"/>
          <w:sz w:val="28"/>
          <w:szCs w:val="28"/>
        </w:rPr>
        <w:t xml:space="preserve"> 16,67±1,25%</w:t>
      </w:r>
      <w:r w:rsidR="006F792C">
        <w:rPr>
          <w:rFonts w:ascii="Times New Roman" w:hAnsi="Times New Roman" w:cs="Times New Roman"/>
          <w:sz w:val="28"/>
          <w:szCs w:val="28"/>
        </w:rPr>
        <w:t xml:space="preserve"> в СОКСП</w:t>
      </w:r>
      <w:r w:rsidR="00DE351C">
        <w:rPr>
          <w:rFonts w:ascii="Times New Roman" w:hAnsi="Times New Roman" w:cs="Times New Roman"/>
          <w:sz w:val="28"/>
          <w:szCs w:val="28"/>
        </w:rPr>
        <w:t>) и гранулематозного (1,56±0,22%</w:t>
      </w:r>
      <w:r w:rsidR="006F792C">
        <w:rPr>
          <w:rFonts w:ascii="Times New Roman" w:hAnsi="Times New Roman" w:cs="Times New Roman"/>
          <w:sz w:val="28"/>
          <w:szCs w:val="28"/>
        </w:rPr>
        <w:t xml:space="preserve"> в ЧСК и </w:t>
      </w:r>
      <w:r w:rsidR="00DE351C">
        <w:rPr>
          <w:rFonts w:ascii="Times New Roman" w:hAnsi="Times New Roman" w:cs="Times New Roman"/>
          <w:sz w:val="28"/>
          <w:szCs w:val="28"/>
        </w:rPr>
        <w:t>5,84±0,71%</w:t>
      </w:r>
      <w:r w:rsidR="006F792C">
        <w:rPr>
          <w:rFonts w:ascii="Times New Roman" w:hAnsi="Times New Roman" w:cs="Times New Roman"/>
          <w:sz w:val="28"/>
          <w:szCs w:val="28"/>
        </w:rPr>
        <w:t xml:space="preserve"> в СОКСП</w:t>
      </w:r>
      <w:r w:rsidR="00DE351C">
        <w:rPr>
          <w:rFonts w:ascii="Times New Roman" w:hAnsi="Times New Roman" w:cs="Times New Roman"/>
          <w:sz w:val="28"/>
          <w:szCs w:val="28"/>
        </w:rPr>
        <w:t>) периодонтитов.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исследования микротвердости дентина в различных зонах депульпированных зубов представлены в таблице 4. </w:t>
      </w:r>
    </w:p>
    <w:p w:rsidR="007E3222" w:rsidRPr="007E3222" w:rsidRDefault="007E3222" w:rsidP="00DE351C">
      <w:pPr>
        <w:spacing w:after="0" w:line="240" w:lineRule="auto"/>
        <w:ind w:left="2552" w:hanging="1832"/>
        <w:jc w:val="both"/>
        <w:rPr>
          <w:rFonts w:ascii="Times New Roman" w:hAnsi="Times New Roman" w:cs="Times New Roman"/>
          <w:sz w:val="10"/>
          <w:szCs w:val="10"/>
        </w:rPr>
      </w:pPr>
    </w:p>
    <w:p w:rsidR="00DE351C" w:rsidRPr="006C138C" w:rsidRDefault="00DE351C" w:rsidP="00DE351C">
      <w:pPr>
        <w:spacing w:after="0" w:line="240" w:lineRule="auto"/>
        <w:ind w:left="2552" w:hanging="1832"/>
        <w:jc w:val="both"/>
        <w:rPr>
          <w:rFonts w:ascii="Times New Roman" w:hAnsi="Times New Roman" w:cs="Times New Roman"/>
          <w:sz w:val="28"/>
          <w:szCs w:val="28"/>
        </w:rPr>
      </w:pPr>
      <w:r w:rsidRPr="006C138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4 -</w:t>
      </w:r>
      <w:r w:rsidRPr="006C138C">
        <w:rPr>
          <w:rFonts w:ascii="Times New Roman" w:hAnsi="Times New Roman" w:cs="Times New Roman"/>
          <w:sz w:val="28"/>
          <w:szCs w:val="28"/>
        </w:rPr>
        <w:t xml:space="preserve"> Микротвердость дентина в зависимости от метода пломбирования корневых каналов</w:t>
      </w:r>
      <w:r>
        <w:rPr>
          <w:rFonts w:ascii="Times New Roman" w:hAnsi="Times New Roman" w:cs="Times New Roman"/>
          <w:sz w:val="28"/>
          <w:szCs w:val="28"/>
        </w:rPr>
        <w:t xml:space="preserve"> (кг/мм</w:t>
      </w:r>
      <w:r w:rsidRPr="00704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275"/>
        <w:gridCol w:w="1276"/>
        <w:gridCol w:w="1276"/>
        <w:gridCol w:w="1417"/>
        <w:gridCol w:w="1418"/>
      </w:tblGrid>
      <w:tr w:rsidR="006F792C" w:rsidRPr="006C138C" w:rsidTr="006F792C">
        <w:trPr>
          <w:trHeight w:val="840"/>
          <w:tblCellSpacing w:w="0" w:type="dxa"/>
        </w:trPr>
        <w:tc>
          <w:tcPr>
            <w:tcW w:w="2704" w:type="dxa"/>
            <w:tcBorders>
              <w:tl2br w:val="single" w:sz="4" w:space="0" w:color="auto"/>
            </w:tcBorders>
            <w:shd w:val="clear" w:color="auto" w:fill="auto"/>
          </w:tcPr>
          <w:p w:rsidR="006F792C" w:rsidRDefault="006F792C" w:rsidP="0082353B">
            <w:pPr>
              <w:spacing w:after="0" w:line="240" w:lineRule="auto"/>
              <w:ind w:firstLine="14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Твердость в</w:t>
            </w:r>
            <w:r w:rsidR="00823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</w:t>
            </w:r>
            <w:r w:rsidR="00823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дуемой</w:t>
            </w:r>
            <w:r w:rsidR="00823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F792C" w:rsidRDefault="006F792C" w:rsidP="0082353B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 </w:t>
            </w:r>
            <w:r w:rsidR="00823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зуба</w:t>
            </w:r>
          </w:p>
          <w:p w:rsidR="006F792C" w:rsidRPr="00B73582" w:rsidRDefault="006F792C" w:rsidP="0082353B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ломбирования</w:t>
            </w:r>
          </w:p>
        </w:tc>
        <w:tc>
          <w:tcPr>
            <w:tcW w:w="1275" w:type="dxa"/>
            <w:shd w:val="clear" w:color="auto" w:fill="auto"/>
          </w:tcPr>
          <w:p w:rsidR="006F792C" w:rsidRPr="00B73582" w:rsidRDefault="006F792C" w:rsidP="00623CFD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Дентин </w:t>
            </w:r>
          </w:p>
          <w:p w:rsidR="006F792C" w:rsidRDefault="006F792C" w:rsidP="00623CFD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оронки</w:t>
            </w:r>
          </w:p>
          <w:p w:rsidR="006F792C" w:rsidRPr="00B73582" w:rsidRDefault="006F792C" w:rsidP="00623CFD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F792C" w:rsidRPr="00B73582" w:rsidRDefault="006F792C" w:rsidP="00623CFD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Дентин пришееч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област</w:t>
            </w:r>
            <w:r w:rsidR="00823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6F792C" w:rsidRPr="00B73582" w:rsidRDefault="006F792C" w:rsidP="00623CFD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Дентин средней трети корня</w:t>
            </w:r>
          </w:p>
        </w:tc>
        <w:tc>
          <w:tcPr>
            <w:tcW w:w="1417" w:type="dxa"/>
            <w:shd w:val="clear" w:color="auto" w:fill="auto"/>
          </w:tcPr>
          <w:p w:rsidR="006F792C" w:rsidRPr="00B73582" w:rsidRDefault="006F792C" w:rsidP="00623CFD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Дентин апикаль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трети корня</w:t>
            </w:r>
          </w:p>
        </w:tc>
        <w:tc>
          <w:tcPr>
            <w:tcW w:w="1418" w:type="dxa"/>
          </w:tcPr>
          <w:p w:rsidR="006F792C" w:rsidRPr="00B73582" w:rsidRDefault="006F792C" w:rsidP="00623CFD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твердость дентина</w:t>
            </w:r>
          </w:p>
        </w:tc>
      </w:tr>
      <w:tr w:rsidR="006F792C" w:rsidRPr="006C138C" w:rsidTr="006F792C">
        <w:trPr>
          <w:trHeight w:val="554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6F792C" w:rsidRPr="00B73582" w:rsidRDefault="006F792C" w:rsidP="0082353B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Цинк-оксид-эвгеноловая паста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95,1±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95,1±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98,3±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70,9±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  <w:tc>
          <w:tcPr>
            <w:tcW w:w="1418" w:type="dxa"/>
            <w:vAlign w:val="center"/>
          </w:tcPr>
          <w:p w:rsidR="006F792C" w:rsidRPr="00B73582" w:rsidRDefault="006F792C" w:rsidP="006F7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89,9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</w:t>
            </w:r>
          </w:p>
        </w:tc>
      </w:tr>
      <w:tr w:rsidR="006F792C" w:rsidRPr="006C138C" w:rsidTr="006F792C">
        <w:trPr>
          <w:trHeight w:val="620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6F792C" w:rsidRPr="00B73582" w:rsidRDefault="006F792C" w:rsidP="0082353B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Резорцин-форма</w:t>
            </w:r>
            <w:r w:rsidR="00823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линовая паста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100,2±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92,2±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109,9±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81,6±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418" w:type="dxa"/>
            <w:vAlign w:val="center"/>
          </w:tcPr>
          <w:p w:rsidR="006F792C" w:rsidRPr="00B73582" w:rsidRDefault="006F792C" w:rsidP="006F7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96,0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5,9</w:t>
            </w:r>
          </w:p>
        </w:tc>
      </w:tr>
      <w:tr w:rsidR="006F792C" w:rsidRPr="006C138C" w:rsidTr="006F792C">
        <w:trPr>
          <w:trHeight w:val="1062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6F792C" w:rsidRPr="00B73582" w:rsidRDefault="006F792C" w:rsidP="0082353B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Гуттаперчевые штифты 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(метод латеральной конденсации)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105,1±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96,3±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100,1±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89,9±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1418" w:type="dxa"/>
            <w:vAlign w:val="center"/>
          </w:tcPr>
          <w:p w:rsidR="006F792C" w:rsidRPr="00B73582" w:rsidRDefault="006F792C" w:rsidP="006F7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99,5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</w:tr>
      <w:tr w:rsidR="006F792C" w:rsidRPr="006C138C" w:rsidTr="006F792C">
        <w:trPr>
          <w:trHeight w:val="506"/>
          <w:tblCellSpacing w:w="0" w:type="dxa"/>
        </w:trPr>
        <w:tc>
          <w:tcPr>
            <w:tcW w:w="2704" w:type="dxa"/>
            <w:shd w:val="clear" w:color="auto" w:fill="auto"/>
            <w:vAlign w:val="center"/>
          </w:tcPr>
          <w:p w:rsidR="006F792C" w:rsidRPr="00B73582" w:rsidRDefault="006F792C" w:rsidP="0082353B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Интактные зубы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98,2±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113,6±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92C" w:rsidRPr="00B73582" w:rsidRDefault="006F792C" w:rsidP="00623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93,1±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4,9</w:t>
            </w:r>
          </w:p>
        </w:tc>
        <w:tc>
          <w:tcPr>
            <w:tcW w:w="1418" w:type="dxa"/>
            <w:vAlign w:val="center"/>
          </w:tcPr>
          <w:p w:rsidR="006F792C" w:rsidRPr="00B73582" w:rsidRDefault="006F792C" w:rsidP="006F7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102,9</w:t>
            </w:r>
            <w:r w:rsidRPr="00B735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</w:t>
            </w:r>
          </w:p>
        </w:tc>
      </w:tr>
    </w:tbl>
    <w:p w:rsidR="007E3222" w:rsidRPr="007E3222" w:rsidRDefault="007E3222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E351C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данные, можно сказать, что твердость интактных зубов по сравнению с депульпированными выше во всех зонах измерений. Средняя твердость дентина составляет 102,9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>±</w:t>
      </w:r>
      <w:r>
        <w:rPr>
          <w:rFonts w:ascii="Times New Roman" w:hAnsi="Times New Roman" w:cs="Times New Roman"/>
          <w:color w:val="000000"/>
          <w:sz w:val="28"/>
          <w:szCs w:val="28"/>
        </w:rPr>
        <w:t>2,6</w:t>
      </w:r>
      <w:r w:rsidRPr="00D43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>кг/мм</w:t>
      </w:r>
      <w:r w:rsidRPr="006C13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отличие от твердости дентина депульпированных зубов, которая в среднем составляет 96,1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>±</w:t>
      </w:r>
      <w:r>
        <w:rPr>
          <w:rFonts w:ascii="Times New Roman" w:hAnsi="Times New Roman" w:cs="Times New Roman"/>
          <w:color w:val="000000"/>
          <w:sz w:val="28"/>
          <w:szCs w:val="28"/>
        </w:rPr>
        <w:t>1,4</w:t>
      </w:r>
      <w:r w:rsidRPr="00D43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>кг/мм</w:t>
      </w:r>
      <w:r w:rsidRPr="006C13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54E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4E9D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5D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Средняя м</w:t>
      </w:r>
      <w:r w:rsidRPr="006C138C">
        <w:rPr>
          <w:rFonts w:ascii="Times New Roman" w:hAnsi="Times New Roman" w:cs="Times New Roman"/>
          <w:sz w:val="28"/>
          <w:szCs w:val="28"/>
        </w:rPr>
        <w:t>икротвердость дентина выше при пломбировании его гуттаперчевыми штифтами методом латеральной конденсации (9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13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>±</w:t>
      </w:r>
      <w:r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 xml:space="preserve"> кг/мм</w:t>
      </w:r>
      <w:r w:rsidRPr="006C13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C138C">
        <w:rPr>
          <w:rFonts w:ascii="Times New Roman" w:hAnsi="Times New Roman" w:cs="Times New Roman"/>
          <w:sz w:val="28"/>
          <w:szCs w:val="28"/>
        </w:rPr>
        <w:t xml:space="preserve">), нежели при пломбировании резорцин-формалиновой пастой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38C">
        <w:rPr>
          <w:rFonts w:ascii="Times New Roman" w:hAnsi="Times New Roman" w:cs="Times New Roman"/>
          <w:sz w:val="28"/>
          <w:szCs w:val="28"/>
        </w:rPr>
        <w:t>(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>96,0±</w:t>
      </w:r>
      <w:r>
        <w:rPr>
          <w:rFonts w:ascii="Times New Roman" w:hAnsi="Times New Roman" w:cs="Times New Roman"/>
          <w:color w:val="000000"/>
          <w:sz w:val="28"/>
          <w:szCs w:val="28"/>
        </w:rPr>
        <w:t>5,9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 xml:space="preserve"> кг/мм</w:t>
      </w:r>
      <w:r w:rsidRPr="006C13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4E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4E9D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138C">
        <w:rPr>
          <w:rFonts w:ascii="Times New Roman" w:hAnsi="Times New Roman" w:cs="Times New Roman"/>
          <w:sz w:val="28"/>
          <w:szCs w:val="28"/>
        </w:rPr>
        <w:t>) и цинк-оксид-эвгеноловой пастой (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>89,9±</w:t>
      </w:r>
      <w:r>
        <w:rPr>
          <w:rFonts w:ascii="Times New Roman" w:hAnsi="Times New Roman" w:cs="Times New Roman"/>
          <w:color w:val="000000"/>
          <w:sz w:val="28"/>
          <w:szCs w:val="28"/>
        </w:rPr>
        <w:t>4,1</w:t>
      </w:r>
      <w:r w:rsidRPr="006C138C">
        <w:rPr>
          <w:rFonts w:ascii="Times New Roman" w:hAnsi="Times New Roman" w:cs="Times New Roman"/>
          <w:color w:val="000000"/>
          <w:sz w:val="28"/>
          <w:szCs w:val="28"/>
        </w:rPr>
        <w:t xml:space="preserve"> кг/мм</w:t>
      </w:r>
      <w:r w:rsidRPr="006C13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A13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4E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4E9D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38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 тоже время, сравнивая среднюю микротвердость интактных зубов и депульпированных, каналы которых запломбированы гуттаперчевыми штифтами методом латеральной конденсации, установлено, что данный показатель выше в интактном дентине, однако различие </w:t>
      </w:r>
      <w:r w:rsidRPr="00254E9D">
        <w:rPr>
          <w:rFonts w:ascii="Times New Roman" w:hAnsi="Times New Roman" w:cs="Times New Roman"/>
          <w:sz w:val="28"/>
          <w:szCs w:val="28"/>
        </w:rPr>
        <w:t xml:space="preserve">статистически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54E9D">
        <w:rPr>
          <w:rFonts w:ascii="Times New Roman" w:hAnsi="Times New Roman" w:cs="Times New Roman"/>
          <w:sz w:val="28"/>
          <w:szCs w:val="28"/>
        </w:rPr>
        <w:t>достоверно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E9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4E9D">
        <w:rPr>
          <w:rFonts w:ascii="Times New Roman" w:hAnsi="Times New Roman" w:cs="Times New Roman"/>
          <w:sz w:val="28"/>
          <w:szCs w:val="28"/>
        </w:rPr>
        <w:t>&gt;0,0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DE351C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после депульпирования происходит снижение средней по всем зонам твердости по сравнению с интактным зубом: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пломбировании каналов гуттаперчевыми штифтами методом латеральной конденсации – на 3,43%, при применении резорцин-формалинового метода – 6,93%, при пломбировании каналов цинкоксидэвгеноловой пастой  – 13,03%.</w:t>
      </w:r>
      <w:r w:rsidRPr="00CA0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1C" w:rsidRPr="002A657B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A657B">
        <w:rPr>
          <w:rFonts w:ascii="Times New Roman" w:hAnsi="Times New Roman" w:cs="Times New Roman"/>
          <w:sz w:val="28"/>
        </w:rPr>
        <w:t xml:space="preserve">Результаты </w:t>
      </w:r>
      <w:r>
        <w:rPr>
          <w:rFonts w:ascii="Times New Roman" w:hAnsi="Times New Roman" w:cs="Times New Roman"/>
          <w:sz w:val="28"/>
        </w:rPr>
        <w:t xml:space="preserve">лабораторного исследования проникновения красителя в дентин в различных зонах зуба в основной (при использовании поверхностного герметика) и контрольной группе (без использования поверхностного герметика) </w:t>
      </w:r>
      <w:r w:rsidRPr="002A657B">
        <w:rPr>
          <w:rFonts w:ascii="Times New Roman" w:hAnsi="Times New Roman" w:cs="Times New Roman"/>
          <w:sz w:val="28"/>
        </w:rPr>
        <w:t xml:space="preserve">представлены в таблице </w:t>
      </w:r>
      <w:r>
        <w:rPr>
          <w:rFonts w:ascii="Times New Roman" w:hAnsi="Times New Roman" w:cs="Times New Roman"/>
          <w:sz w:val="28"/>
        </w:rPr>
        <w:t>5.</w:t>
      </w:r>
    </w:p>
    <w:p w:rsidR="00DE351C" w:rsidRPr="002A657B" w:rsidRDefault="00DE351C" w:rsidP="00016892">
      <w:pPr>
        <w:spacing w:before="120" w:after="0" w:line="240" w:lineRule="auto"/>
        <w:ind w:left="1701" w:hanging="1701"/>
        <w:jc w:val="both"/>
        <w:rPr>
          <w:rFonts w:ascii="Times New Roman" w:hAnsi="Times New Roman" w:cs="Times New Roman"/>
          <w:sz w:val="28"/>
        </w:rPr>
      </w:pPr>
      <w:r w:rsidRPr="002A657B">
        <w:rPr>
          <w:rFonts w:ascii="Times New Roman" w:hAnsi="Times New Roman" w:cs="Times New Roman"/>
          <w:sz w:val="28"/>
        </w:rPr>
        <w:t>Таблица №</w:t>
      </w:r>
      <w:r>
        <w:rPr>
          <w:rFonts w:ascii="Times New Roman" w:hAnsi="Times New Roman" w:cs="Times New Roman"/>
          <w:sz w:val="28"/>
        </w:rPr>
        <w:t>5 -</w:t>
      </w:r>
      <w:r w:rsidRPr="002A65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Частота окрашивания </w:t>
      </w:r>
      <w:r w:rsidRPr="002A657B">
        <w:rPr>
          <w:rFonts w:ascii="Times New Roman" w:hAnsi="Times New Roman" w:cs="Times New Roman"/>
          <w:sz w:val="28"/>
        </w:rPr>
        <w:t>дентин</w:t>
      </w:r>
      <w:r>
        <w:rPr>
          <w:rFonts w:ascii="Times New Roman" w:hAnsi="Times New Roman" w:cs="Times New Roman"/>
          <w:sz w:val="28"/>
        </w:rPr>
        <w:t>а</w:t>
      </w:r>
      <w:r w:rsidRPr="002A657B">
        <w:rPr>
          <w:rFonts w:ascii="Times New Roman" w:hAnsi="Times New Roman" w:cs="Times New Roman"/>
          <w:sz w:val="28"/>
        </w:rPr>
        <w:t xml:space="preserve"> зубов в исследуемых зонах при раз</w:t>
      </w:r>
      <w:r>
        <w:rPr>
          <w:rFonts w:ascii="Times New Roman" w:hAnsi="Times New Roman" w:cs="Times New Roman"/>
          <w:sz w:val="28"/>
        </w:rPr>
        <w:t>личных способах подготовки зуба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DE351C" w:rsidRPr="002A657B" w:rsidTr="00623CFD">
        <w:tc>
          <w:tcPr>
            <w:tcW w:w="3227" w:type="dxa"/>
            <w:tcBorders>
              <w:left w:val="single" w:sz="4" w:space="0" w:color="auto"/>
            </w:tcBorders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Основная группа</w:t>
            </w:r>
          </w:p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(в %)</w:t>
            </w:r>
          </w:p>
        </w:tc>
        <w:tc>
          <w:tcPr>
            <w:tcW w:w="3261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 xml:space="preserve">Контрольная группа </w:t>
            </w:r>
          </w:p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(в %)</w:t>
            </w:r>
          </w:p>
        </w:tc>
      </w:tr>
      <w:tr w:rsidR="00DE351C" w:rsidRPr="002A657B" w:rsidTr="00623CFD">
        <w:trPr>
          <w:trHeight w:val="317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DE351C" w:rsidRPr="002A657B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B">
              <w:rPr>
                <w:rFonts w:ascii="Times New Roman" w:hAnsi="Times New Roman" w:cs="Times New Roman"/>
                <w:sz w:val="28"/>
                <w:szCs w:val="28"/>
              </w:rPr>
              <w:t>Дентин культи</w:t>
            </w:r>
          </w:p>
        </w:tc>
        <w:tc>
          <w:tcPr>
            <w:tcW w:w="3118" w:type="dxa"/>
            <w:vAlign w:val="center"/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5,0±0,5</w:t>
            </w:r>
          </w:p>
        </w:tc>
        <w:tc>
          <w:tcPr>
            <w:tcW w:w="3261" w:type="dxa"/>
            <w:vAlign w:val="center"/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100,0±0,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DE351C" w:rsidRPr="002A657B" w:rsidTr="00623CFD">
        <w:trPr>
          <w:trHeight w:val="549"/>
        </w:trPr>
        <w:tc>
          <w:tcPr>
            <w:tcW w:w="3227" w:type="dxa"/>
            <w:tcBorders>
              <w:left w:val="single" w:sz="4" w:space="0" w:color="auto"/>
            </w:tcBorders>
          </w:tcPr>
          <w:p w:rsidR="00DE351C" w:rsidRPr="002A657B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B">
              <w:rPr>
                <w:rFonts w:ascii="Times New Roman" w:hAnsi="Times New Roman" w:cs="Times New Roman"/>
                <w:sz w:val="28"/>
                <w:szCs w:val="28"/>
              </w:rPr>
              <w:t>Дентин пришеечной и средней трети корня</w:t>
            </w:r>
          </w:p>
        </w:tc>
        <w:tc>
          <w:tcPr>
            <w:tcW w:w="3118" w:type="dxa"/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25,0±6,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1" w:type="dxa"/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100,0±</w:t>
            </w:r>
            <w:r>
              <w:rPr>
                <w:rFonts w:ascii="Times New Roman" w:hAnsi="Times New Roman" w:cs="Times New Roman"/>
                <w:sz w:val="28"/>
              </w:rPr>
              <w:t>0,0</w:t>
            </w:r>
          </w:p>
        </w:tc>
      </w:tr>
      <w:tr w:rsidR="00DE351C" w:rsidRPr="002A657B" w:rsidTr="00623CFD">
        <w:tc>
          <w:tcPr>
            <w:tcW w:w="3227" w:type="dxa"/>
            <w:tcBorders>
              <w:left w:val="single" w:sz="4" w:space="0" w:color="auto"/>
            </w:tcBorders>
          </w:tcPr>
          <w:p w:rsidR="00DE351C" w:rsidRPr="002A657B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57B">
              <w:rPr>
                <w:rFonts w:ascii="Times New Roman" w:hAnsi="Times New Roman" w:cs="Times New Roman"/>
                <w:sz w:val="28"/>
                <w:szCs w:val="28"/>
              </w:rPr>
              <w:t>Дентин апикальной трети корня</w:t>
            </w:r>
          </w:p>
        </w:tc>
        <w:tc>
          <w:tcPr>
            <w:tcW w:w="3118" w:type="dxa"/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30,0±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2A657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1" w:type="dxa"/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40,0±</w:t>
            </w:r>
            <w:r>
              <w:rPr>
                <w:rFonts w:ascii="Times New Roman" w:hAnsi="Times New Roman" w:cs="Times New Roman"/>
                <w:sz w:val="28"/>
              </w:rPr>
              <w:t>5,6</w:t>
            </w:r>
          </w:p>
        </w:tc>
      </w:tr>
      <w:tr w:rsidR="00DE351C" w:rsidRPr="002A657B" w:rsidTr="00623CFD">
        <w:tc>
          <w:tcPr>
            <w:tcW w:w="3227" w:type="dxa"/>
            <w:tcBorders>
              <w:left w:val="single" w:sz="4" w:space="0" w:color="auto"/>
            </w:tcBorders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2A657B">
              <w:rPr>
                <w:rFonts w:ascii="Times New Roman" w:hAnsi="Times New Roman" w:cs="Times New Roman"/>
                <w:sz w:val="28"/>
                <w:szCs w:val="28"/>
              </w:rPr>
              <w:t xml:space="preserve"> по всем зонам</w:t>
            </w:r>
          </w:p>
        </w:tc>
        <w:tc>
          <w:tcPr>
            <w:tcW w:w="3118" w:type="dxa"/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20,0±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2A657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1" w:type="dxa"/>
          </w:tcPr>
          <w:p w:rsidR="00DE351C" w:rsidRPr="002A657B" w:rsidRDefault="00DE351C" w:rsidP="00623C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57B">
              <w:rPr>
                <w:rFonts w:ascii="Times New Roman" w:hAnsi="Times New Roman" w:cs="Times New Roman"/>
                <w:sz w:val="28"/>
              </w:rPr>
              <w:t>80,0±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2A657B">
              <w:rPr>
                <w:rFonts w:ascii="Times New Roman" w:hAnsi="Times New Roman" w:cs="Times New Roman"/>
                <w:sz w:val="28"/>
              </w:rPr>
              <w:t>,2</w:t>
            </w:r>
          </w:p>
        </w:tc>
      </w:tr>
    </w:tbl>
    <w:p w:rsidR="00DE351C" w:rsidRPr="004769C5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E351C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проникновения красителя в дентин депульпированных зубов выявлено, что о</w:t>
      </w:r>
      <w:r w:rsidRPr="002A657B">
        <w:rPr>
          <w:rFonts w:ascii="Times New Roman" w:hAnsi="Times New Roman" w:cs="Times New Roman"/>
          <w:sz w:val="28"/>
          <w:szCs w:val="28"/>
        </w:rPr>
        <w:t xml:space="preserve">крашивание дентина зубов основной группы </w:t>
      </w:r>
      <w:r>
        <w:rPr>
          <w:rFonts w:ascii="Times New Roman" w:hAnsi="Times New Roman" w:cs="Times New Roman"/>
          <w:sz w:val="28"/>
          <w:szCs w:val="28"/>
        </w:rPr>
        <w:t xml:space="preserve">(подготовка проводилась с применением поверхностного герметика) </w:t>
      </w:r>
      <w:r w:rsidRPr="002A657B">
        <w:rPr>
          <w:rFonts w:ascii="Times New Roman" w:hAnsi="Times New Roman" w:cs="Times New Roman"/>
          <w:sz w:val="28"/>
          <w:szCs w:val="28"/>
        </w:rPr>
        <w:t>встречалось значительно реже</w:t>
      </w:r>
      <w:r>
        <w:rPr>
          <w:rFonts w:ascii="Times New Roman" w:hAnsi="Times New Roman" w:cs="Times New Roman"/>
          <w:sz w:val="28"/>
          <w:szCs w:val="28"/>
        </w:rPr>
        <w:t xml:space="preserve">, чем в контрольной группе (поверхностный герметик не применялся). Так, </w:t>
      </w:r>
      <w:r w:rsidRPr="00426546">
        <w:rPr>
          <w:sz w:val="28"/>
          <w:szCs w:val="28"/>
        </w:rPr>
        <w:t xml:space="preserve"> </w:t>
      </w:r>
      <w:r w:rsidRPr="00B35E96">
        <w:rPr>
          <w:rFonts w:ascii="Times New Roman" w:hAnsi="Times New Roman" w:cs="Times New Roman"/>
          <w:sz w:val="28"/>
          <w:szCs w:val="28"/>
        </w:rPr>
        <w:t xml:space="preserve">окрашивание зубов основной группы в области дентина культи наблюдалось </w:t>
      </w:r>
      <w:r>
        <w:rPr>
          <w:rFonts w:ascii="Times New Roman" w:hAnsi="Times New Roman" w:cs="Times New Roman"/>
          <w:sz w:val="28"/>
          <w:szCs w:val="28"/>
        </w:rPr>
        <w:t xml:space="preserve">в 5% случаев </w:t>
      </w:r>
      <w:r w:rsidRPr="00B35E96">
        <w:rPr>
          <w:rFonts w:ascii="Times New Roman" w:hAnsi="Times New Roman" w:cs="Times New Roman"/>
          <w:sz w:val="28"/>
          <w:szCs w:val="28"/>
        </w:rPr>
        <w:t>при 100% окрашивании дентина зубов контрольной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5E9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B35E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E96">
        <w:rPr>
          <w:rFonts w:ascii="Times New Roman" w:hAnsi="Times New Roman" w:cs="Times New Roman"/>
          <w:sz w:val="28"/>
          <w:szCs w:val="28"/>
        </w:rPr>
        <w:t>01).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1C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препарирования (дентин культи зуба</w:t>
      </w:r>
      <w:r w:rsidRPr="000B6311">
        <w:rPr>
          <w:rFonts w:ascii="Times New Roman" w:hAnsi="Times New Roman" w:cs="Times New Roman"/>
          <w:sz w:val="28"/>
          <w:szCs w:val="28"/>
        </w:rPr>
        <w:t>, прише</w:t>
      </w:r>
      <w:r>
        <w:rPr>
          <w:rFonts w:ascii="Times New Roman" w:hAnsi="Times New Roman" w:cs="Times New Roman"/>
          <w:sz w:val="28"/>
          <w:szCs w:val="28"/>
        </w:rPr>
        <w:t xml:space="preserve">ечная и средняя трети корня) </w:t>
      </w:r>
      <w:r w:rsidRPr="000B6311">
        <w:rPr>
          <w:rFonts w:ascii="Times New Roman" w:hAnsi="Times New Roman" w:cs="Times New Roman"/>
          <w:sz w:val="28"/>
          <w:szCs w:val="28"/>
        </w:rPr>
        <w:t xml:space="preserve">окрашивание дентина зубов контрольной группы наблюдается в 100% случаев, тогда как в основной группе окрашивание в аналогичной зоне – </w:t>
      </w: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0B6311">
        <w:rPr>
          <w:rFonts w:ascii="Times New Roman" w:hAnsi="Times New Roman" w:cs="Times New Roman"/>
          <w:sz w:val="28"/>
          <w:szCs w:val="28"/>
        </w:rPr>
        <w:t xml:space="preserve">лишь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6311">
        <w:rPr>
          <w:rFonts w:ascii="Times New Roman" w:hAnsi="Times New Roman" w:cs="Times New Roman"/>
          <w:sz w:val="28"/>
          <w:szCs w:val="28"/>
        </w:rPr>
        <w:t>5%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F2">
        <w:rPr>
          <w:rFonts w:ascii="Times New Roman" w:hAnsi="Times New Roman" w:cs="Times New Roman"/>
          <w:sz w:val="28"/>
          <w:szCs w:val="28"/>
        </w:rPr>
        <w:t>(</w:t>
      </w:r>
      <w:r w:rsidRPr="0042654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4265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54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). В среднем по всем зонам окрашивание дентина зубов контрольной группы встречается на 60,00±4,35% чаще, чем в основной. </w:t>
      </w:r>
    </w:p>
    <w:p w:rsidR="00DE351C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после обработки внутренней поверхности дентина коронки и корня в зоне препарирования наблюдается достоверное снижение проникновения красителя в дентинные канальцы. В клинической практике это приведет к снижению проникновения в дентинные канальцы микроорганизмов и продуктов их жизнедеятельности.  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оценки прочности системы «зуб-штифтовая культевая вкладка-литая коронка» нами использован метод компьютерного моделирования и конечно-элементный анализ. </w:t>
      </w:r>
      <w:r w:rsidRPr="00906E9B">
        <w:rPr>
          <w:rFonts w:ascii="Times New Roman" w:hAnsi="Times New Roman" w:cs="Times New Roman"/>
          <w:sz w:val="28"/>
          <w:szCs w:val="28"/>
        </w:rPr>
        <w:t>Числовые значения предельной прочности и запаса прочности при нагрузке в 200</w:t>
      </w:r>
      <w:r>
        <w:rPr>
          <w:rFonts w:ascii="Times New Roman" w:hAnsi="Times New Roman" w:cs="Times New Roman"/>
          <w:sz w:val="28"/>
          <w:szCs w:val="28"/>
        </w:rPr>
        <w:t xml:space="preserve"> ньютонов</w:t>
      </w:r>
      <w:r w:rsidRPr="0090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(Н) заносили </w:t>
      </w:r>
      <w:r w:rsidRPr="00906E9B">
        <w:rPr>
          <w:rFonts w:ascii="Times New Roman" w:hAnsi="Times New Roman" w:cs="Times New Roman"/>
          <w:sz w:val="28"/>
          <w:szCs w:val="28"/>
        </w:rPr>
        <w:t>в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6E9B">
        <w:rPr>
          <w:rFonts w:ascii="Times New Roman" w:hAnsi="Times New Roman" w:cs="Times New Roman"/>
          <w:sz w:val="28"/>
          <w:szCs w:val="28"/>
        </w:rPr>
        <w:t xml:space="preserve">, которые, для большей наглядности и удобства анализа, представлены в виде диаграмм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6E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E9B">
        <w:rPr>
          <w:rFonts w:ascii="Times New Roman" w:hAnsi="Times New Roman" w:cs="Times New Roman"/>
          <w:sz w:val="28"/>
          <w:szCs w:val="28"/>
        </w:rPr>
        <w:t xml:space="preserve">Предельная прочность в моделях 1,4 (препарирование с уступом 135º при разрушении коронки на ½ и полном разрушении) несколько увеличивается при наклоне до 20º в вестибулооральном направлении и до 15º </w:t>
      </w:r>
      <w:r w:rsidRPr="00906E9B">
        <w:rPr>
          <w:rFonts w:ascii="Times New Roman" w:hAnsi="Times New Roman" w:cs="Times New Roman"/>
          <w:sz w:val="28"/>
          <w:szCs w:val="28"/>
        </w:rPr>
        <w:lastRenderedPageBreak/>
        <w:t xml:space="preserve">при мезиодистальном наклоне, далее – резко снижается, и при наклоне в 45º становится ниже исходного в 2 раза (диаграммы 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906E9B">
        <w:rPr>
          <w:rFonts w:ascii="Times New Roman" w:hAnsi="Times New Roman" w:cs="Times New Roman"/>
          <w:sz w:val="28"/>
          <w:szCs w:val="28"/>
        </w:rPr>
        <w:t>).</w:t>
      </w:r>
    </w:p>
    <w:p w:rsidR="00DE351C" w:rsidRPr="00906E9B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5779" cy="3849511"/>
            <wp:effectExtent l="19050" t="0" r="17921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06E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7684" cy="3838222"/>
            <wp:effectExtent l="19050" t="0" r="16016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351C" w:rsidRPr="00906E9B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E9B">
        <w:rPr>
          <w:rFonts w:ascii="Times New Roman" w:hAnsi="Times New Roman" w:cs="Times New Roman"/>
          <w:sz w:val="28"/>
          <w:szCs w:val="28"/>
        </w:rPr>
        <w:t>При препарировании зуба с уступом в 90º предельная прочность (модели 2,5) практически не меняется при наклоне до 10º в вестибулооральном и мезиодистальном направлении, далее – резко снижается (при наклоне в 45º – в 3 раза). То же самое наблюдается и в моделях 3, 6 (препарирование без уступа): предельная прочность несколько увеличивается при наклоне до 10º в вестибулооральном направлении и до 5º при мезиодистальном наклоне, далее – резко снижается (при наклоне в 45º – в 2,5 раза).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6E9B">
        <w:rPr>
          <w:rFonts w:ascii="Times New Roman" w:hAnsi="Times New Roman" w:cs="Times New Roman"/>
          <w:sz w:val="28"/>
          <w:szCs w:val="28"/>
        </w:rPr>
        <w:t xml:space="preserve"> предельная прочность всех моделей (независимо от способа препарирования пришеечной части и степени разр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6E9B">
        <w:rPr>
          <w:rFonts w:ascii="Times New Roman" w:hAnsi="Times New Roman" w:cs="Times New Roman"/>
          <w:sz w:val="28"/>
          <w:szCs w:val="28"/>
        </w:rPr>
        <w:t>шения культи зуба) зависит от угла наклона как в вестибулооральном, так и мезиодистальном направлениях.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9B">
        <w:rPr>
          <w:rFonts w:ascii="Times New Roman" w:hAnsi="Times New Roman" w:cs="Times New Roman"/>
          <w:sz w:val="28"/>
          <w:szCs w:val="28"/>
        </w:rPr>
        <w:tab/>
        <w:t xml:space="preserve">Вестибулярный или оральный наклон системы «зуб – штифтовая культевая вкладка – коронка» более 20º показал снижение предельной прочности для всех моделей в среднем на 455,33±17,4 Н по сравнению с нулевым наклоном (диаграмма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6E9B">
        <w:rPr>
          <w:rFonts w:ascii="Times New Roman" w:hAnsi="Times New Roman" w:cs="Times New Roman"/>
          <w:sz w:val="28"/>
          <w:szCs w:val="28"/>
        </w:rPr>
        <w:t>).</w:t>
      </w:r>
    </w:p>
    <w:p w:rsidR="00016892" w:rsidRPr="00906E9B" w:rsidRDefault="00016892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E9B">
        <w:rPr>
          <w:rFonts w:ascii="Times New Roman" w:hAnsi="Times New Roman" w:cs="Times New Roman"/>
          <w:sz w:val="28"/>
          <w:szCs w:val="28"/>
        </w:rPr>
        <w:t xml:space="preserve">При мезиальном или дистальном наклоне зуба в таких же пределах предельная прочность системы уменьшалась в среднем на 521,94±20,84 Н </w:t>
      </w:r>
      <w:r>
        <w:rPr>
          <w:rFonts w:ascii="Times New Roman" w:hAnsi="Times New Roman" w:cs="Times New Roman"/>
          <w:sz w:val="28"/>
          <w:szCs w:val="28"/>
        </w:rPr>
        <w:t>в сравнении с</w:t>
      </w:r>
      <w:r w:rsidRPr="00906E9B">
        <w:rPr>
          <w:rFonts w:ascii="Times New Roman" w:hAnsi="Times New Roman" w:cs="Times New Roman"/>
          <w:sz w:val="28"/>
          <w:szCs w:val="28"/>
        </w:rPr>
        <w:t xml:space="preserve"> предельной прочност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06E9B">
        <w:rPr>
          <w:rFonts w:ascii="Times New Roman" w:hAnsi="Times New Roman" w:cs="Times New Roman"/>
          <w:sz w:val="28"/>
          <w:szCs w:val="28"/>
        </w:rPr>
        <w:t xml:space="preserve"> при вестибулооральном наклоне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6E9B">
        <w:rPr>
          <w:rFonts w:ascii="Times New Roman" w:hAnsi="Times New Roman" w:cs="Times New Roman"/>
          <w:sz w:val="28"/>
          <w:szCs w:val="28"/>
        </w:rPr>
        <w:t>&lt;0,01). Последнее связано с тем, что за основу моделей взят премоляр нижней челюсти, в котором размер корня в вестибулооральном направлении больше, чем в мезиодистальном. Дальнейшее увеличение угла наклона моделей до 45 градусов снижало прочность системы от 20,3±4,3% до 60,9±6,7% от максимального значения предельной прочности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6E9B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E9B">
        <w:rPr>
          <w:rFonts w:ascii="Times New Roman" w:hAnsi="Times New Roman" w:cs="Times New Roman"/>
          <w:sz w:val="28"/>
          <w:szCs w:val="28"/>
        </w:rPr>
        <w:t>).</w:t>
      </w:r>
    </w:p>
    <w:p w:rsidR="00DE351C" w:rsidRPr="00906E9B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33700" cy="3762375"/>
            <wp:effectExtent l="19050" t="0" r="19050" b="0"/>
            <wp:docPr id="3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06E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7025" cy="3762375"/>
            <wp:effectExtent l="19050" t="0" r="9525" b="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351C" w:rsidRPr="00906E9B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1C" w:rsidRPr="00906E9B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9B">
        <w:rPr>
          <w:rFonts w:ascii="Times New Roman" w:hAnsi="Times New Roman" w:cs="Times New Roman"/>
          <w:sz w:val="28"/>
          <w:szCs w:val="28"/>
        </w:rPr>
        <w:tab/>
        <w:t xml:space="preserve">Средняя предельная прочность моделей с полным разрушением коронковой части зуба (модели 4,5,6) при угле наклона от 0 до 10 градусов (диаграмма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6E9B">
        <w:rPr>
          <w:rFonts w:ascii="Times New Roman" w:hAnsi="Times New Roman" w:cs="Times New Roman"/>
          <w:sz w:val="28"/>
          <w:szCs w:val="28"/>
        </w:rPr>
        <w:t>) практически не отличается от таковой при разрушении коронковой части зуба на ½ (модели 1,2,3). При увеличении угла наклона предельная прочность моделей 4,5,6 снижается в среднем на 9,47±2,20% по отношению к предельной прочности моделей 1,2,3 (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906E9B">
        <w:rPr>
          <w:rFonts w:ascii="Times New Roman" w:hAnsi="Times New Roman" w:cs="Times New Roman"/>
          <w:sz w:val="28"/>
          <w:szCs w:val="28"/>
        </w:rPr>
        <w:t>0,01).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9B">
        <w:rPr>
          <w:rFonts w:ascii="Times New Roman" w:hAnsi="Times New Roman" w:cs="Times New Roman"/>
          <w:sz w:val="28"/>
          <w:szCs w:val="28"/>
        </w:rPr>
        <w:tab/>
        <w:t>Различное препарирование пришеечной части зуба (уступ 135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06E9B">
        <w:rPr>
          <w:rFonts w:ascii="Times New Roman" w:hAnsi="Times New Roman" w:cs="Times New Roman"/>
          <w:sz w:val="28"/>
          <w:szCs w:val="28"/>
        </w:rPr>
        <w:t>, 90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06E9B">
        <w:rPr>
          <w:rFonts w:ascii="Times New Roman" w:hAnsi="Times New Roman" w:cs="Times New Roman"/>
          <w:sz w:val="28"/>
          <w:szCs w:val="28"/>
        </w:rPr>
        <w:t>, без уступа) также влияют на показатели предельной прочности. При наклоне зуба от 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06E9B">
        <w:rPr>
          <w:rFonts w:ascii="Times New Roman" w:hAnsi="Times New Roman" w:cs="Times New Roman"/>
          <w:sz w:val="28"/>
          <w:szCs w:val="28"/>
        </w:rPr>
        <w:t xml:space="preserve"> до 10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06E9B">
        <w:rPr>
          <w:rFonts w:ascii="Times New Roman" w:hAnsi="Times New Roman" w:cs="Times New Roman"/>
          <w:sz w:val="28"/>
          <w:szCs w:val="28"/>
        </w:rPr>
        <w:t xml:space="preserve"> значения предельной прочности существенно не различаются (диаграмма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E9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Pr="00906E9B">
        <w:rPr>
          <w:rFonts w:ascii="Times New Roman" w:hAnsi="Times New Roman" w:cs="Times New Roman"/>
          <w:sz w:val="28"/>
          <w:szCs w:val="28"/>
        </w:rPr>
        <w:t>ри дальнейшем увеличении наклона зуба происходит постепенное снижение средней предельной прочности моделей 2,5 (уступ 90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06E9B">
        <w:rPr>
          <w:rFonts w:ascii="Times New Roman" w:hAnsi="Times New Roman" w:cs="Times New Roman"/>
          <w:sz w:val="28"/>
          <w:szCs w:val="28"/>
        </w:rPr>
        <w:t xml:space="preserve">) и моделей 3,6 (без уступа). </w:t>
      </w:r>
      <w:r>
        <w:rPr>
          <w:rFonts w:ascii="Times New Roman" w:hAnsi="Times New Roman" w:cs="Times New Roman"/>
          <w:sz w:val="28"/>
          <w:szCs w:val="28"/>
        </w:rPr>
        <w:t>Таким образом, наиболее эффективным методом, вне зависимости от степени разрушения твердых тканей зуба, является формирование культи опорного зуба с круговым уступом под углом 135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в пришеечной части и перекрытием краем покрывной коронки границы «культя – ткани зуба». Предельная прочность системы при такой подготовке на 22,66±3,41% и 8,44±2,64% выше, чем при создании уступа 90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или без уступа соответственно (р&lt;0,05).</w:t>
      </w:r>
    </w:p>
    <w:p w:rsidR="00016892" w:rsidRPr="00906E9B" w:rsidRDefault="00016892" w:rsidP="0001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6E9B">
        <w:rPr>
          <w:rFonts w:ascii="Times New Roman" w:hAnsi="Times New Roman" w:cs="Times New Roman"/>
          <w:sz w:val="28"/>
          <w:szCs w:val="28"/>
        </w:rPr>
        <w:t>Что касается моделей 1 и 4, то средняя предельная прочность увеличивается при угле наклона до 15 градусов на 4,3±0,1% по сравнению с предельной прочностью при нулевом наклоне</w:t>
      </w:r>
      <w:r>
        <w:rPr>
          <w:rFonts w:ascii="Times New Roman" w:hAnsi="Times New Roman" w:cs="Times New Roman"/>
          <w:sz w:val="28"/>
          <w:szCs w:val="28"/>
        </w:rPr>
        <w:t xml:space="preserve"> (р&lt;0,05)</w:t>
      </w:r>
      <w:r w:rsidRPr="00906E9B">
        <w:rPr>
          <w:rFonts w:ascii="Times New Roman" w:hAnsi="Times New Roman" w:cs="Times New Roman"/>
          <w:sz w:val="28"/>
          <w:szCs w:val="28"/>
        </w:rPr>
        <w:t>. Это можно объяснить формой уступа, благодаря которой при таком наклоне нагрузка эффективно распределяется на культю зуба. Относительно моделей 1 и 4 предельная прочность моделей 3,6 (без уступа) ниже на 8,22±1,26%</w:t>
      </w:r>
      <w:r>
        <w:rPr>
          <w:rFonts w:ascii="Times New Roman" w:hAnsi="Times New Roman" w:cs="Times New Roman"/>
          <w:sz w:val="28"/>
          <w:szCs w:val="28"/>
        </w:rPr>
        <w:t xml:space="preserve"> (р&lt;0,05)</w:t>
      </w:r>
      <w:r w:rsidRPr="00906E9B">
        <w:rPr>
          <w:rFonts w:ascii="Times New Roman" w:hAnsi="Times New Roman" w:cs="Times New Roman"/>
          <w:sz w:val="28"/>
          <w:szCs w:val="28"/>
        </w:rPr>
        <w:t xml:space="preserve">, а моделей 2,5 – на 23,58±2,17% </w:t>
      </w:r>
      <w:r>
        <w:rPr>
          <w:rFonts w:ascii="Times New Roman" w:hAnsi="Times New Roman" w:cs="Times New Roman"/>
          <w:sz w:val="28"/>
          <w:szCs w:val="28"/>
        </w:rPr>
        <w:t>(р&lt;0,01</w:t>
      </w:r>
      <w:r w:rsidRPr="00906E9B">
        <w:rPr>
          <w:rFonts w:ascii="Times New Roman" w:hAnsi="Times New Roman" w:cs="Times New Roman"/>
          <w:sz w:val="28"/>
          <w:szCs w:val="28"/>
        </w:rPr>
        <w:t>).</w:t>
      </w:r>
    </w:p>
    <w:p w:rsidR="00DE351C" w:rsidRPr="00906E9B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9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76925" cy="3228975"/>
            <wp:effectExtent l="19050" t="0" r="9525" b="0"/>
            <wp:docPr id="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9B">
        <w:rPr>
          <w:rFonts w:ascii="Times New Roman" w:hAnsi="Times New Roman" w:cs="Times New Roman"/>
          <w:sz w:val="28"/>
          <w:szCs w:val="28"/>
        </w:rPr>
        <w:tab/>
        <w:t>При анализе распределения максимального напряжения (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Pr="00906E9B">
        <w:rPr>
          <w:rFonts w:ascii="Times New Roman" w:hAnsi="Times New Roman" w:cs="Times New Roman"/>
          <w:sz w:val="28"/>
          <w:szCs w:val="28"/>
        </w:rPr>
        <w:t xml:space="preserve"> 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906E9B">
        <w:rPr>
          <w:rFonts w:ascii="Times New Roman" w:hAnsi="Times New Roman" w:cs="Times New Roman"/>
          <w:sz w:val="28"/>
          <w:szCs w:val="28"/>
        </w:rPr>
        <w:t xml:space="preserve"> 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Stress</w:t>
      </w:r>
      <w:r w:rsidRPr="00906E9B">
        <w:rPr>
          <w:rFonts w:ascii="Times New Roman" w:hAnsi="Times New Roman" w:cs="Times New Roman"/>
          <w:sz w:val="28"/>
          <w:szCs w:val="28"/>
        </w:rPr>
        <w:t>) между элементами моделей установлено, что при нагрузке в 200 Н во всех моделях концентрировалось либо в середине штифта культевой вкладки, либо в пришеечн</w:t>
      </w:r>
      <w:r>
        <w:rPr>
          <w:rFonts w:ascii="Times New Roman" w:hAnsi="Times New Roman" w:cs="Times New Roman"/>
          <w:sz w:val="28"/>
          <w:szCs w:val="28"/>
        </w:rPr>
        <w:t>ой части искусственной коронки</w:t>
      </w:r>
      <w:r w:rsidRPr="00906E9B">
        <w:rPr>
          <w:rFonts w:ascii="Times New Roman" w:hAnsi="Times New Roman" w:cs="Times New Roman"/>
          <w:sz w:val="28"/>
          <w:szCs w:val="28"/>
        </w:rPr>
        <w:t>. Деформация (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906E9B">
        <w:rPr>
          <w:rFonts w:ascii="Times New Roman" w:hAnsi="Times New Roman" w:cs="Times New Roman"/>
          <w:sz w:val="28"/>
          <w:szCs w:val="28"/>
        </w:rPr>
        <w:t xml:space="preserve"> 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Deformation</w:t>
      </w:r>
      <w:r w:rsidRPr="00906E9B">
        <w:rPr>
          <w:rFonts w:ascii="Times New Roman" w:hAnsi="Times New Roman" w:cs="Times New Roman"/>
          <w:sz w:val="28"/>
          <w:szCs w:val="28"/>
        </w:rPr>
        <w:t>) элементов системы при небольшом наклоне зуба наблюдалась в искусственной коронке, а при увеличении угла наклона зуба</w:t>
      </w:r>
      <w:r>
        <w:rPr>
          <w:rFonts w:ascii="Times New Roman" w:hAnsi="Times New Roman" w:cs="Times New Roman"/>
          <w:sz w:val="28"/>
          <w:szCs w:val="28"/>
        </w:rPr>
        <w:t xml:space="preserve"> – в области дентина шейки зуба.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н</w:t>
      </w:r>
      <w:r w:rsidRPr="00906E9B">
        <w:rPr>
          <w:rFonts w:ascii="Times New Roman" w:hAnsi="Times New Roman" w:cs="Times New Roman"/>
          <w:sz w:val="28"/>
          <w:szCs w:val="28"/>
        </w:rPr>
        <w:t>аибол</w:t>
      </w:r>
      <w:r>
        <w:rPr>
          <w:rFonts w:ascii="Times New Roman" w:hAnsi="Times New Roman" w:cs="Times New Roman"/>
          <w:sz w:val="28"/>
          <w:szCs w:val="28"/>
        </w:rPr>
        <w:t>ьшие показатели прочности среди моделей с различными вариантами пришеечной части</w:t>
      </w:r>
      <w:r w:rsidRPr="00906E9B">
        <w:rPr>
          <w:rFonts w:ascii="Times New Roman" w:hAnsi="Times New Roman" w:cs="Times New Roman"/>
          <w:sz w:val="28"/>
          <w:szCs w:val="28"/>
        </w:rPr>
        <w:t>, вне зависимости от степени разрушения твердых тканей зуба, является формирование культи опорного зуба с круговым уступом под углом 135</w:t>
      </w:r>
      <w:r w:rsidRPr="00906E9B">
        <w:rPr>
          <w:rFonts w:ascii="Times New Roman" w:hAnsi="Times New Roman" w:cs="Times New Roman"/>
          <w:sz w:val="28"/>
          <w:szCs w:val="28"/>
        </w:rPr>
        <w:sym w:font="Symbol" w:char="F0B0"/>
      </w:r>
      <w:r w:rsidRPr="00906E9B">
        <w:rPr>
          <w:rFonts w:ascii="Times New Roman" w:hAnsi="Times New Roman" w:cs="Times New Roman"/>
          <w:sz w:val="28"/>
          <w:szCs w:val="28"/>
        </w:rPr>
        <w:t xml:space="preserve"> в пришеечной части и перекрытием краем покрывной коронки границы «культя – ткани зуба». Предельная прочность системы при такой подготовке на 23,58±2,17% </w:t>
      </w:r>
      <w:r>
        <w:rPr>
          <w:rFonts w:ascii="Times New Roman" w:hAnsi="Times New Roman" w:cs="Times New Roman"/>
          <w:sz w:val="28"/>
          <w:szCs w:val="28"/>
        </w:rPr>
        <w:t xml:space="preserve">(р&lt;0,01) </w:t>
      </w:r>
      <w:r w:rsidRPr="00906E9B">
        <w:rPr>
          <w:rFonts w:ascii="Times New Roman" w:hAnsi="Times New Roman" w:cs="Times New Roman"/>
          <w:sz w:val="28"/>
          <w:szCs w:val="28"/>
        </w:rPr>
        <w:t xml:space="preserve">и 8,22±1,26% </w:t>
      </w:r>
      <w:r>
        <w:rPr>
          <w:rFonts w:ascii="Times New Roman" w:hAnsi="Times New Roman" w:cs="Times New Roman"/>
          <w:sz w:val="28"/>
          <w:szCs w:val="28"/>
        </w:rPr>
        <w:t xml:space="preserve">(р&lt;0,05) </w:t>
      </w:r>
      <w:r w:rsidRPr="00906E9B">
        <w:rPr>
          <w:rFonts w:ascii="Times New Roman" w:hAnsi="Times New Roman" w:cs="Times New Roman"/>
          <w:sz w:val="28"/>
          <w:szCs w:val="28"/>
        </w:rPr>
        <w:t xml:space="preserve">выше, чем при препарировании зуба с уступом 90º  или без уступа соответственно. 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9B">
        <w:rPr>
          <w:rFonts w:ascii="Times New Roman" w:hAnsi="Times New Roman" w:cs="Times New Roman"/>
          <w:sz w:val="28"/>
          <w:szCs w:val="28"/>
        </w:rPr>
        <w:tab/>
        <w:t xml:space="preserve">При незначительном (0-10º) наклоне опорных зубов степень разрушения твердых тканей не влияет на изменение прочности пар моделей 1 и 4 (уступ 135º), 2 и 5 (уступ 90 º), 3 и 6 (без уступа) (различие статистически недостоверны, 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˃</w:t>
      </w:r>
      <w:r w:rsidRPr="00906E9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E9B">
        <w:rPr>
          <w:rFonts w:ascii="Times New Roman" w:hAnsi="Times New Roman" w:cs="Times New Roman"/>
          <w:sz w:val="28"/>
          <w:szCs w:val="28"/>
        </w:rPr>
        <w:t>). Однако с увеличением угла (15-45º) наклона пар</w:t>
      </w:r>
      <w:r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906E9B">
        <w:rPr>
          <w:rFonts w:ascii="Times New Roman" w:hAnsi="Times New Roman" w:cs="Times New Roman"/>
          <w:sz w:val="28"/>
          <w:szCs w:val="28"/>
        </w:rPr>
        <w:t xml:space="preserve"> предельная прочность выше при разрушении культи на ½, чем  при полном разрушении коронковой части зуба на 9,47±2,20% (</w:t>
      </w:r>
      <w:r w:rsidRPr="00906E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6E9B">
        <w:rPr>
          <w:rFonts w:ascii="Times New Roman" w:hAnsi="Times New Roman" w:cs="Times New Roman"/>
          <w:sz w:val="28"/>
          <w:szCs w:val="28"/>
        </w:rPr>
        <w:t>&lt;0,0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6E9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Учитывая, что при функции жевания преобладают боковые нагрузки, более благоприятный прогноз с точки зрения механики будут иметь ортопедические конструкции, опирающиеся на больший объем дентина.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зоны деформации, мы определили, что м</w:t>
      </w:r>
      <w:r w:rsidRPr="00906E9B">
        <w:rPr>
          <w:rFonts w:ascii="Times New Roman" w:hAnsi="Times New Roman" w:cs="Times New Roman"/>
          <w:sz w:val="28"/>
          <w:szCs w:val="28"/>
        </w:rPr>
        <w:t xml:space="preserve">аксимальное напряжение системы «зуб-штифтовая вкладка-литая коронка» концентрируется в области шейки зуба как при полном разрушении коронковой части, так и при разрушении на ½ длины, что на практике </w:t>
      </w:r>
      <w:r w:rsidRPr="00906E9B">
        <w:rPr>
          <w:rFonts w:ascii="Times New Roman" w:hAnsi="Times New Roman" w:cs="Times New Roman"/>
          <w:sz w:val="28"/>
          <w:szCs w:val="28"/>
        </w:rPr>
        <w:lastRenderedPageBreak/>
        <w:t>приводит к отколу части корня и нарушению фиксации штифтовой конструкции.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клинического исследования в общей сложности произведена диагностика, лечение 100 пациентов с дефектами твердых тканей зубов и зубных рядов. В основной группе (50 пациентов) при замещении дефектов твердых тканей опорный зубов для защиты дентина использовался поверхностный герметик, эффективность которого была доказана нами в рамках лабораторного исследования</w:t>
      </w:r>
      <w:r w:rsidRPr="00E95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лечении пациентов контрольной группы такая обработка не проводилась. Распределение пациентов основной и контрольной группы по полу и возрасту представлено в таблице 6.</w:t>
      </w:r>
    </w:p>
    <w:p w:rsidR="00DE351C" w:rsidRDefault="00DE351C" w:rsidP="00016892">
      <w:pPr>
        <w:spacing w:before="120"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6 - Распределение по полу и возрасту пациентов основной и контрольной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51C" w:rsidTr="00623CFD">
        <w:tc>
          <w:tcPr>
            <w:tcW w:w="3190" w:type="dxa"/>
            <w:tcBorders>
              <w:tl2br w:val="single" w:sz="4" w:space="0" w:color="auto"/>
            </w:tcBorders>
            <w:vAlign w:val="center"/>
          </w:tcPr>
          <w:p w:rsidR="00DE351C" w:rsidRDefault="00DE351C" w:rsidP="00623C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351C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Пол, возраст</w:t>
            </w:r>
          </w:p>
        </w:tc>
        <w:tc>
          <w:tcPr>
            <w:tcW w:w="3190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3191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</w:tr>
      <w:tr w:rsidR="00DE351C" w:rsidTr="00623CFD">
        <w:tc>
          <w:tcPr>
            <w:tcW w:w="3190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90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(24%)</w:t>
            </w:r>
          </w:p>
        </w:tc>
        <w:tc>
          <w:tcPr>
            <w:tcW w:w="3191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(32%)</w:t>
            </w:r>
          </w:p>
        </w:tc>
      </w:tr>
      <w:tr w:rsidR="00DE351C" w:rsidTr="00623CFD">
        <w:tc>
          <w:tcPr>
            <w:tcW w:w="3190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3190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(76%)</w:t>
            </w:r>
          </w:p>
        </w:tc>
        <w:tc>
          <w:tcPr>
            <w:tcW w:w="3191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(68%)</w:t>
            </w:r>
          </w:p>
        </w:tc>
      </w:tr>
      <w:tr w:rsidR="00DE351C" w:rsidTr="00623CFD">
        <w:tc>
          <w:tcPr>
            <w:tcW w:w="3190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90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7E3222" w:rsidRPr="007E3222" w:rsidRDefault="007E3222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E351C" w:rsidRPr="00B76D50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по полу и возрасту в основной и контрольной группе до начала клинического исследования не значимы (критерий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-Манна-Уитни для независимых выборок, р˃0,05).</w:t>
      </w:r>
    </w:p>
    <w:p w:rsidR="00DE351C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5430">
        <w:rPr>
          <w:rFonts w:ascii="Times New Roman" w:hAnsi="Times New Roman" w:cs="Times New Roman"/>
          <w:sz w:val="28"/>
          <w:szCs w:val="28"/>
        </w:rPr>
        <w:t xml:space="preserve">сновную группу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6C5430">
        <w:rPr>
          <w:rFonts w:ascii="Times New Roman" w:hAnsi="Times New Roman" w:cs="Times New Roman"/>
          <w:sz w:val="28"/>
          <w:szCs w:val="28"/>
        </w:rPr>
        <w:t xml:space="preserve"> 50 пациентов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430">
        <w:rPr>
          <w:rFonts w:ascii="Times New Roman" w:hAnsi="Times New Roman" w:cs="Times New Roman"/>
          <w:sz w:val="28"/>
          <w:szCs w:val="28"/>
        </w:rPr>
        <w:t xml:space="preserve"> из них 38 женщин и 12 мужчин</w:t>
      </w:r>
      <w:r>
        <w:rPr>
          <w:rFonts w:ascii="Times New Roman" w:hAnsi="Times New Roman" w:cs="Times New Roman"/>
          <w:sz w:val="28"/>
          <w:szCs w:val="28"/>
        </w:rPr>
        <w:t>, средний возраст – 42 года</w:t>
      </w:r>
      <w:r w:rsidRPr="006C5430">
        <w:rPr>
          <w:rFonts w:ascii="Times New Roman" w:hAnsi="Times New Roman" w:cs="Times New Roman"/>
          <w:sz w:val="28"/>
          <w:szCs w:val="28"/>
        </w:rPr>
        <w:t xml:space="preserve">, которым изготовлено 26 одиночных металлокерамических коронок, 31 металлокерамический мостовидный протез. Всего зубов 97. </w:t>
      </w:r>
      <w:r>
        <w:rPr>
          <w:rFonts w:ascii="Times New Roman" w:hAnsi="Times New Roman" w:cs="Times New Roman"/>
          <w:sz w:val="28"/>
          <w:szCs w:val="28"/>
        </w:rPr>
        <w:t>В качестве исследуемых были зубы различной групповой принадлежности: резцы -28, клыки -14, премоляры -28 , моляры -27 (табл.7).</w:t>
      </w:r>
    </w:p>
    <w:p w:rsidR="00DE351C" w:rsidRDefault="00DE351C" w:rsidP="00016892">
      <w:pPr>
        <w:spacing w:before="120" w:after="0" w:line="24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 Распределение опорных зубов по групповой принадлежности в основной и контрольной группах</w:t>
      </w: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3196"/>
        <w:gridCol w:w="3196"/>
        <w:gridCol w:w="3197"/>
      </w:tblGrid>
      <w:tr w:rsidR="00DE351C" w:rsidTr="00623CFD">
        <w:trPr>
          <w:trHeight w:val="1077"/>
        </w:trPr>
        <w:tc>
          <w:tcPr>
            <w:tcW w:w="3196" w:type="dxa"/>
            <w:tcBorders>
              <w:tl2br w:val="single" w:sz="4" w:space="0" w:color="auto"/>
            </w:tcBorders>
          </w:tcPr>
          <w:p w:rsidR="00DE351C" w:rsidRDefault="00DE351C" w:rsidP="00623C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3196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3197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</w:tr>
      <w:tr w:rsidR="00DE351C" w:rsidTr="00623CFD">
        <w:trPr>
          <w:trHeight w:val="215"/>
        </w:trPr>
        <w:tc>
          <w:tcPr>
            <w:tcW w:w="3196" w:type="dxa"/>
            <w:vAlign w:val="center"/>
          </w:tcPr>
          <w:p w:rsidR="00DE351C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Резцы</w:t>
            </w:r>
          </w:p>
        </w:tc>
        <w:tc>
          <w:tcPr>
            <w:tcW w:w="3196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(28,9%)</w:t>
            </w:r>
          </w:p>
        </w:tc>
        <w:tc>
          <w:tcPr>
            <w:tcW w:w="3197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(29,5%)</w:t>
            </w:r>
          </w:p>
        </w:tc>
      </w:tr>
      <w:tr w:rsidR="00DE351C" w:rsidTr="00623CFD">
        <w:trPr>
          <w:trHeight w:val="292"/>
        </w:trPr>
        <w:tc>
          <w:tcPr>
            <w:tcW w:w="3196" w:type="dxa"/>
            <w:vAlign w:val="center"/>
          </w:tcPr>
          <w:p w:rsidR="00DE351C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Клыки</w:t>
            </w:r>
          </w:p>
        </w:tc>
        <w:tc>
          <w:tcPr>
            <w:tcW w:w="3196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(14,4%)</w:t>
            </w:r>
          </w:p>
        </w:tc>
        <w:tc>
          <w:tcPr>
            <w:tcW w:w="3197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(11,4%)</w:t>
            </w:r>
          </w:p>
        </w:tc>
      </w:tr>
      <w:tr w:rsidR="00DE351C" w:rsidTr="00623CFD">
        <w:trPr>
          <w:trHeight w:val="97"/>
        </w:trPr>
        <w:tc>
          <w:tcPr>
            <w:tcW w:w="3196" w:type="dxa"/>
            <w:vAlign w:val="center"/>
          </w:tcPr>
          <w:p w:rsidR="00DE351C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Премоляры</w:t>
            </w:r>
          </w:p>
        </w:tc>
        <w:tc>
          <w:tcPr>
            <w:tcW w:w="3196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(28,9%)</w:t>
            </w:r>
          </w:p>
        </w:tc>
        <w:tc>
          <w:tcPr>
            <w:tcW w:w="3197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(34,2%)</w:t>
            </w:r>
          </w:p>
        </w:tc>
      </w:tr>
      <w:tr w:rsidR="00DE351C" w:rsidTr="00623CFD">
        <w:trPr>
          <w:trHeight w:val="70"/>
        </w:trPr>
        <w:tc>
          <w:tcPr>
            <w:tcW w:w="3196" w:type="dxa"/>
            <w:vAlign w:val="center"/>
          </w:tcPr>
          <w:p w:rsidR="00DE351C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Моляры</w:t>
            </w:r>
          </w:p>
        </w:tc>
        <w:tc>
          <w:tcPr>
            <w:tcW w:w="3196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(27,8%)</w:t>
            </w:r>
          </w:p>
        </w:tc>
        <w:tc>
          <w:tcPr>
            <w:tcW w:w="3197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(24,8%)</w:t>
            </w:r>
          </w:p>
        </w:tc>
      </w:tr>
      <w:tr w:rsidR="00DE351C" w:rsidTr="00623CFD">
        <w:trPr>
          <w:trHeight w:val="149"/>
        </w:trPr>
        <w:tc>
          <w:tcPr>
            <w:tcW w:w="3196" w:type="dxa"/>
            <w:vAlign w:val="center"/>
          </w:tcPr>
          <w:p w:rsidR="00DE351C" w:rsidRDefault="00DE351C" w:rsidP="0062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зубов</w:t>
            </w:r>
          </w:p>
        </w:tc>
        <w:tc>
          <w:tcPr>
            <w:tcW w:w="3196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(100%)</w:t>
            </w:r>
          </w:p>
        </w:tc>
        <w:tc>
          <w:tcPr>
            <w:tcW w:w="3197" w:type="dxa"/>
            <w:vAlign w:val="center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(100%)</w:t>
            </w:r>
          </w:p>
        </w:tc>
      </w:tr>
    </w:tbl>
    <w:p w:rsidR="00DE351C" w:rsidRPr="007E3222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E351C" w:rsidRDefault="00DE351C" w:rsidP="00DE35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6C5430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543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 включены</w:t>
      </w:r>
      <w:r w:rsidRPr="006C5430">
        <w:rPr>
          <w:rFonts w:ascii="Times New Roman" w:hAnsi="Times New Roman" w:cs="Times New Roman"/>
          <w:sz w:val="28"/>
          <w:szCs w:val="28"/>
        </w:rPr>
        <w:t xml:space="preserve"> 50 пациентов, которым культи опорных зубов восстанавливались штифтовыми вкладками и металлокерамическим или литыми коронками без использования поверхностного герметика. Среди них 34 женщины и 16 мужчин</w:t>
      </w:r>
      <w:r>
        <w:rPr>
          <w:rFonts w:ascii="Times New Roman" w:hAnsi="Times New Roman" w:cs="Times New Roman"/>
          <w:sz w:val="28"/>
          <w:szCs w:val="28"/>
        </w:rPr>
        <w:t>, средний возраст – 45 лет</w:t>
      </w:r>
      <w:r w:rsidRPr="006C5430">
        <w:rPr>
          <w:rFonts w:ascii="Times New Roman" w:hAnsi="Times New Roman" w:cs="Times New Roman"/>
          <w:sz w:val="28"/>
          <w:szCs w:val="28"/>
        </w:rPr>
        <w:t xml:space="preserve">, которым изготовлено 24 одиночных </w:t>
      </w:r>
      <w:r>
        <w:rPr>
          <w:rFonts w:ascii="Times New Roman" w:hAnsi="Times New Roman" w:cs="Times New Roman"/>
          <w:sz w:val="28"/>
          <w:szCs w:val="28"/>
        </w:rPr>
        <w:t xml:space="preserve">металлокерамических </w:t>
      </w:r>
      <w:r w:rsidRPr="006C5430">
        <w:rPr>
          <w:rFonts w:ascii="Times New Roman" w:hAnsi="Times New Roman" w:cs="Times New Roman"/>
          <w:sz w:val="28"/>
          <w:szCs w:val="28"/>
        </w:rPr>
        <w:lastRenderedPageBreak/>
        <w:t xml:space="preserve">коронок и 37 мостовидных </w:t>
      </w:r>
      <w:r>
        <w:rPr>
          <w:rFonts w:ascii="Times New Roman" w:hAnsi="Times New Roman" w:cs="Times New Roman"/>
          <w:sz w:val="28"/>
          <w:szCs w:val="28"/>
        </w:rPr>
        <w:t xml:space="preserve">металлокерамических </w:t>
      </w:r>
      <w:r w:rsidRPr="006C5430">
        <w:rPr>
          <w:rFonts w:ascii="Times New Roman" w:hAnsi="Times New Roman" w:cs="Times New Roman"/>
          <w:sz w:val="28"/>
          <w:szCs w:val="28"/>
        </w:rPr>
        <w:t>протезов. Опорных зубов – 105</w:t>
      </w:r>
      <w:r>
        <w:rPr>
          <w:rFonts w:ascii="Times New Roman" w:hAnsi="Times New Roman" w:cs="Times New Roman"/>
          <w:sz w:val="28"/>
          <w:szCs w:val="28"/>
        </w:rPr>
        <w:t xml:space="preserve">, из них: резцы -31, клыки -12, премоляры - 36 , моляры -26 (табл. </w:t>
      </w:r>
      <w:r w:rsidR="008235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определения краевого прилегания искусственных коронок к культям опорных зубов у пациентов основной </w:t>
      </w:r>
      <w:r w:rsidR="0082353B">
        <w:rPr>
          <w:rFonts w:ascii="Times New Roman" w:hAnsi="Times New Roman" w:cs="Times New Roman"/>
          <w:sz w:val="28"/>
          <w:szCs w:val="28"/>
        </w:rPr>
        <w:t xml:space="preserve">и контрольной </w:t>
      </w:r>
      <w:r>
        <w:rPr>
          <w:rFonts w:ascii="Times New Roman" w:hAnsi="Times New Roman" w:cs="Times New Roman"/>
          <w:sz w:val="28"/>
          <w:szCs w:val="28"/>
        </w:rPr>
        <w:t>группы представлены в таблице 8</w:t>
      </w:r>
      <w:r w:rsidR="0082353B">
        <w:rPr>
          <w:rFonts w:ascii="Times New Roman" w:hAnsi="Times New Roman" w:cs="Times New Roman"/>
          <w:sz w:val="28"/>
          <w:szCs w:val="28"/>
        </w:rPr>
        <w:t xml:space="preserve"> и 9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51C" w:rsidRDefault="00DE351C" w:rsidP="00016892">
      <w:pPr>
        <w:spacing w:before="120"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8 - Оценка краевого прилегания искусственных коронок у пациентов основной группы </w:t>
      </w:r>
      <w:r w:rsidR="0082353B">
        <w:rPr>
          <w:rFonts w:ascii="Times New Roman" w:hAnsi="Times New Roman" w:cs="Times New Roman"/>
          <w:sz w:val="28"/>
          <w:szCs w:val="28"/>
        </w:rPr>
        <w:t>в ближайшие и</w:t>
      </w:r>
      <w:r>
        <w:rPr>
          <w:rFonts w:ascii="Times New Roman" w:hAnsi="Times New Roman" w:cs="Times New Roman"/>
          <w:sz w:val="28"/>
          <w:szCs w:val="28"/>
        </w:rPr>
        <w:t xml:space="preserve"> отдаленные сроки</w:t>
      </w:r>
      <w:r w:rsidR="0082353B">
        <w:rPr>
          <w:rFonts w:ascii="Times New Roman" w:hAnsi="Times New Roman" w:cs="Times New Roman"/>
          <w:sz w:val="28"/>
          <w:szCs w:val="28"/>
        </w:rPr>
        <w:t xml:space="preserve"> после лечения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59"/>
        <w:gridCol w:w="1525"/>
      </w:tblGrid>
      <w:tr w:rsidR="00DE351C" w:rsidTr="001E1BFF">
        <w:tc>
          <w:tcPr>
            <w:tcW w:w="3369" w:type="dxa"/>
            <w:tcBorders>
              <w:tl2br w:val="single" w:sz="4" w:space="0" w:color="auto"/>
            </w:tcBorders>
          </w:tcPr>
          <w:p w:rsidR="001E1BFF" w:rsidRDefault="001E1BFF" w:rsidP="001E1BFF">
            <w:pPr>
              <w:ind w:left="2268" w:hanging="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наблю-дения</w:t>
            </w:r>
          </w:p>
          <w:p w:rsidR="00DE351C" w:rsidRDefault="001E1BFF" w:rsidP="001E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559" w:type="dxa"/>
            <w:vAlign w:val="center"/>
          </w:tcPr>
          <w:p w:rsidR="00DE351C" w:rsidRDefault="00DE351C" w:rsidP="001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E351C" w:rsidRDefault="00DE351C" w:rsidP="001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DE351C" w:rsidRDefault="00DE351C" w:rsidP="001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vAlign w:val="center"/>
          </w:tcPr>
          <w:p w:rsidR="00DE351C" w:rsidRDefault="00DE351C" w:rsidP="001E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E351C" w:rsidTr="00623CFD">
        <w:tc>
          <w:tcPr>
            <w:tcW w:w="3369" w:type="dxa"/>
          </w:tcPr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(хорошо)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(73,2%)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(73,2%)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(67,0%)</w:t>
            </w:r>
          </w:p>
        </w:tc>
        <w:tc>
          <w:tcPr>
            <w:tcW w:w="1525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(62,9%)</w:t>
            </w:r>
          </w:p>
        </w:tc>
      </w:tr>
      <w:tr w:rsidR="00DE351C" w:rsidTr="00623CFD">
        <w:tc>
          <w:tcPr>
            <w:tcW w:w="3369" w:type="dxa"/>
          </w:tcPr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(удовлетворительно)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(26,8%)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(26,8%)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(33,0%)</w:t>
            </w:r>
          </w:p>
        </w:tc>
        <w:tc>
          <w:tcPr>
            <w:tcW w:w="1525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(35,1%)</w:t>
            </w:r>
          </w:p>
        </w:tc>
      </w:tr>
      <w:tr w:rsidR="00DE351C" w:rsidTr="00623CFD">
        <w:tc>
          <w:tcPr>
            <w:tcW w:w="3369" w:type="dxa"/>
          </w:tcPr>
          <w:p w:rsidR="00DE351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(неудовлетворительно)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(2,0%)</w:t>
            </w:r>
          </w:p>
        </w:tc>
      </w:tr>
      <w:tr w:rsidR="00DE351C" w:rsidTr="00623CFD">
        <w:tc>
          <w:tcPr>
            <w:tcW w:w="3369" w:type="dxa"/>
          </w:tcPr>
          <w:p w:rsidR="00DE351C" w:rsidRPr="00DC18EC" w:rsidRDefault="00DE351C" w:rsidP="00623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(неприемлемо)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DE351C" w:rsidRDefault="00DE351C" w:rsidP="0062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E351C" w:rsidRPr="007E3222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E3222">
        <w:rPr>
          <w:rFonts w:ascii="Times New Roman" w:hAnsi="Times New Roman" w:cs="Times New Roman"/>
          <w:sz w:val="10"/>
          <w:szCs w:val="10"/>
        </w:rPr>
        <w:tab/>
      </w:r>
    </w:p>
    <w:p w:rsidR="0082353B" w:rsidRDefault="0082353B" w:rsidP="0082353B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9 - Оценка краевого прилегания искусственных коронок у пациентов контрольной группы по окончании протезирования и в отдаленные сроки</w:t>
      </w:r>
    </w:p>
    <w:tbl>
      <w:tblPr>
        <w:tblStyle w:val="a4"/>
        <w:tblW w:w="9659" w:type="dxa"/>
        <w:tblLook w:val="04A0" w:firstRow="1" w:lastRow="0" w:firstColumn="1" w:lastColumn="0" w:noHBand="0" w:noVBand="1"/>
      </w:tblPr>
      <w:tblGrid>
        <w:gridCol w:w="3369"/>
        <w:gridCol w:w="1572"/>
        <w:gridCol w:w="1573"/>
        <w:gridCol w:w="1572"/>
        <w:gridCol w:w="1573"/>
      </w:tblGrid>
      <w:tr w:rsidR="0082353B" w:rsidTr="000E1D87">
        <w:trPr>
          <w:trHeight w:val="1011"/>
        </w:trPr>
        <w:tc>
          <w:tcPr>
            <w:tcW w:w="3369" w:type="dxa"/>
            <w:tcBorders>
              <w:tl2br w:val="single" w:sz="4" w:space="0" w:color="auto"/>
            </w:tcBorders>
          </w:tcPr>
          <w:p w:rsidR="0082353B" w:rsidRDefault="0082353B" w:rsidP="0082353B">
            <w:pPr>
              <w:ind w:left="2268" w:hanging="9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наблю-дения</w:t>
            </w:r>
          </w:p>
          <w:p w:rsidR="0082353B" w:rsidRDefault="0082353B" w:rsidP="000E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2353B" w:rsidTr="000E1D87">
        <w:trPr>
          <w:trHeight w:val="132"/>
        </w:trPr>
        <w:tc>
          <w:tcPr>
            <w:tcW w:w="3369" w:type="dxa"/>
            <w:vAlign w:val="center"/>
          </w:tcPr>
          <w:p w:rsidR="0082353B" w:rsidRDefault="0082353B" w:rsidP="000E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(хорошо)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(72,4%)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(71,4%)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(64,8%)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(60,0%)</w:t>
            </w:r>
          </w:p>
        </w:tc>
      </w:tr>
      <w:tr w:rsidR="0082353B" w:rsidTr="000E1D87">
        <w:trPr>
          <w:trHeight w:val="377"/>
        </w:trPr>
        <w:tc>
          <w:tcPr>
            <w:tcW w:w="3369" w:type="dxa"/>
            <w:vAlign w:val="center"/>
          </w:tcPr>
          <w:p w:rsidR="0082353B" w:rsidRDefault="0082353B" w:rsidP="000E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(удовлетворительно)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(27,6%)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(28,6%)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(34,2%)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(37,1%)</w:t>
            </w:r>
          </w:p>
        </w:tc>
      </w:tr>
      <w:tr w:rsidR="0082353B" w:rsidTr="000E1D87">
        <w:trPr>
          <w:trHeight w:val="128"/>
        </w:trPr>
        <w:tc>
          <w:tcPr>
            <w:tcW w:w="3369" w:type="dxa"/>
            <w:vAlign w:val="center"/>
          </w:tcPr>
          <w:p w:rsidR="0082353B" w:rsidRDefault="0082353B" w:rsidP="000E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(неудовлетворительно)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(2,9%)</w:t>
            </w:r>
          </w:p>
        </w:tc>
      </w:tr>
      <w:tr w:rsidR="0082353B" w:rsidTr="000E1D87">
        <w:trPr>
          <w:trHeight w:val="276"/>
        </w:trPr>
        <w:tc>
          <w:tcPr>
            <w:tcW w:w="3369" w:type="dxa"/>
            <w:vAlign w:val="center"/>
          </w:tcPr>
          <w:p w:rsidR="0082353B" w:rsidRPr="00DC18EC" w:rsidRDefault="0082353B" w:rsidP="000E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(неприемлемо)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3" w:type="dxa"/>
            <w:vAlign w:val="center"/>
          </w:tcPr>
          <w:p w:rsidR="0082353B" w:rsidRDefault="0082353B" w:rsidP="000E1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2353B" w:rsidRPr="007E3222" w:rsidRDefault="0082353B" w:rsidP="008235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DE351C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видно из таблиц </w:t>
      </w:r>
      <w:r w:rsidR="008235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235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все 100% изготовленных конструкций через 1 год после лечения соответствовали кодам А и В (хорошо и удовлетворительно). Однако, через 24 месяца после протезирования часть конструкций (2) соответствовала коду С (неудовлетворительно) – заменить в плановом порядке (профилактически), что обнаруживалось при зондировании, а также по данным  ортопантомографии.</w:t>
      </w:r>
    </w:p>
    <w:p w:rsidR="003679C0" w:rsidRDefault="00DE351C" w:rsidP="0036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данные, представленные в таблицах 8,9, можно отметить, что через 6 месяцев после фиксации 100% конструкций не требовали замены как в основной, так и в контрольной группах (оценки А и В), однако краевое прилегание ухудшалось (уменьшилось количество оценок А и увеличилось количество оценок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). Однако через 12 и 24 мес после протезирования появились отметки С (неудовлетворительно – заменить в плановом порядке) в контрольной группе (2,9%), а потом и в основной группе через 24 мес (2,0%).</w:t>
      </w:r>
      <w:r w:rsidR="003679C0" w:rsidRPr="00367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9C0" w:rsidRDefault="003679C0" w:rsidP="0036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осложнений в основной и контрольной группах представлены в таблице 10. Анализируя данные в таблице, можно сказать, что предложенная методика подготовки опорных зубов с применением поверхностного герметика с учетом формы культи и угла наклона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коронковой части при ортопедическом лечении пациентов несъемными протезами позволяет значительно снизить вероятность таких осложнений, как кариес опорного зуба, перелом корня и развитие деструктивных форм периодонтитов.</w:t>
      </w:r>
    </w:p>
    <w:p w:rsidR="003679C0" w:rsidRPr="003679C0" w:rsidRDefault="003679C0" w:rsidP="0036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3679C0" w:rsidRDefault="003679C0" w:rsidP="003679C0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10 - Распределение осложнений в основной и контрольной группах за 2 и 3 года наблюдения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85"/>
        <w:gridCol w:w="1654"/>
        <w:gridCol w:w="1655"/>
        <w:gridCol w:w="1611"/>
        <w:gridCol w:w="1666"/>
      </w:tblGrid>
      <w:tr w:rsidR="003679C0" w:rsidTr="003679C0">
        <w:trPr>
          <w:trHeight w:val="536"/>
        </w:trPr>
        <w:tc>
          <w:tcPr>
            <w:tcW w:w="2985" w:type="dxa"/>
            <w:vMerge w:val="restart"/>
            <w:tcBorders>
              <w:tl2br w:val="single" w:sz="4" w:space="0" w:color="auto"/>
            </w:tcBorders>
          </w:tcPr>
          <w:p w:rsidR="003679C0" w:rsidRDefault="003679C0" w:rsidP="003679C0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679C0" w:rsidRDefault="003679C0" w:rsidP="003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C0" w:rsidRDefault="003679C0" w:rsidP="003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Осложнение</w:t>
            </w:r>
          </w:p>
        </w:tc>
        <w:tc>
          <w:tcPr>
            <w:tcW w:w="3309" w:type="dxa"/>
            <w:gridSpan w:val="2"/>
            <w:vAlign w:val="center"/>
          </w:tcPr>
          <w:p w:rsidR="003679C0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24 месяцев</w:t>
            </w:r>
          </w:p>
        </w:tc>
        <w:tc>
          <w:tcPr>
            <w:tcW w:w="3277" w:type="dxa"/>
            <w:gridSpan w:val="2"/>
            <w:vAlign w:val="center"/>
          </w:tcPr>
          <w:p w:rsidR="003679C0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36 месяцев</w:t>
            </w:r>
          </w:p>
        </w:tc>
      </w:tr>
      <w:tr w:rsidR="003679C0" w:rsidTr="003679C0">
        <w:trPr>
          <w:trHeight w:val="536"/>
        </w:trPr>
        <w:tc>
          <w:tcPr>
            <w:tcW w:w="2985" w:type="dxa"/>
            <w:vMerge/>
            <w:tcBorders>
              <w:tl2br w:val="single" w:sz="4" w:space="0" w:color="auto"/>
            </w:tcBorders>
          </w:tcPr>
          <w:p w:rsidR="003679C0" w:rsidRDefault="003679C0" w:rsidP="003679C0">
            <w:pPr>
              <w:ind w:firstLine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3679C0" w:rsidRPr="00F43488" w:rsidRDefault="003679C0" w:rsidP="003679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488">
              <w:rPr>
                <w:rFonts w:ascii="Times New Roman" w:hAnsi="Times New Roman" w:cs="Times New Roman"/>
                <w:sz w:val="24"/>
                <w:szCs w:val="28"/>
              </w:rPr>
              <w:t>Основная группа</w:t>
            </w:r>
          </w:p>
        </w:tc>
        <w:tc>
          <w:tcPr>
            <w:tcW w:w="1655" w:type="dxa"/>
            <w:vAlign w:val="center"/>
          </w:tcPr>
          <w:p w:rsidR="003679C0" w:rsidRPr="00F43488" w:rsidRDefault="003679C0" w:rsidP="003679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488">
              <w:rPr>
                <w:rFonts w:ascii="Times New Roman" w:hAnsi="Times New Roman" w:cs="Times New Roman"/>
                <w:sz w:val="24"/>
                <w:szCs w:val="28"/>
              </w:rPr>
              <w:t>Контрольная группа</w:t>
            </w:r>
          </w:p>
        </w:tc>
        <w:tc>
          <w:tcPr>
            <w:tcW w:w="1611" w:type="dxa"/>
            <w:vAlign w:val="center"/>
          </w:tcPr>
          <w:p w:rsidR="003679C0" w:rsidRPr="00F43488" w:rsidRDefault="003679C0" w:rsidP="003679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488">
              <w:rPr>
                <w:rFonts w:ascii="Times New Roman" w:hAnsi="Times New Roman" w:cs="Times New Roman"/>
                <w:sz w:val="24"/>
                <w:szCs w:val="28"/>
              </w:rPr>
              <w:t>Основная группа</w:t>
            </w:r>
          </w:p>
        </w:tc>
        <w:tc>
          <w:tcPr>
            <w:tcW w:w="1666" w:type="dxa"/>
            <w:vAlign w:val="center"/>
          </w:tcPr>
          <w:p w:rsidR="003679C0" w:rsidRPr="00F43488" w:rsidRDefault="003679C0" w:rsidP="003679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3488">
              <w:rPr>
                <w:rFonts w:ascii="Times New Roman" w:hAnsi="Times New Roman" w:cs="Times New Roman"/>
                <w:sz w:val="24"/>
                <w:szCs w:val="28"/>
              </w:rPr>
              <w:t>Контрольная группа</w:t>
            </w:r>
          </w:p>
        </w:tc>
      </w:tr>
      <w:tr w:rsidR="003679C0" w:rsidTr="003679C0">
        <w:tc>
          <w:tcPr>
            <w:tcW w:w="2985" w:type="dxa"/>
            <w:vAlign w:val="center"/>
          </w:tcPr>
          <w:p w:rsidR="003679C0" w:rsidRDefault="003679C0" w:rsidP="003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Кариес опорного зуба</w:t>
            </w:r>
          </w:p>
        </w:tc>
        <w:tc>
          <w:tcPr>
            <w:tcW w:w="1654" w:type="dxa"/>
            <w:vAlign w:val="center"/>
          </w:tcPr>
          <w:p w:rsidR="003679C0" w:rsidRPr="00DB1A65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5" w:type="dxa"/>
            <w:vAlign w:val="center"/>
          </w:tcPr>
          <w:p w:rsidR="003679C0" w:rsidRPr="00DB1A65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2 (1,90%)</w:t>
            </w:r>
          </w:p>
        </w:tc>
        <w:tc>
          <w:tcPr>
            <w:tcW w:w="1611" w:type="dxa"/>
            <w:vAlign w:val="center"/>
          </w:tcPr>
          <w:p w:rsidR="003679C0" w:rsidRPr="00DB1A65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3679C0" w:rsidRPr="00DB1A65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4 (3,80%)</w:t>
            </w:r>
          </w:p>
        </w:tc>
      </w:tr>
      <w:tr w:rsidR="003679C0" w:rsidTr="003679C0">
        <w:tc>
          <w:tcPr>
            <w:tcW w:w="2985" w:type="dxa"/>
            <w:vAlign w:val="center"/>
          </w:tcPr>
          <w:p w:rsidR="003679C0" w:rsidRPr="004F30E6" w:rsidRDefault="003679C0" w:rsidP="003679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Гранулирующий и гранулематозный периодонтит, обострение хронического периодонтита</w:t>
            </w:r>
          </w:p>
        </w:tc>
        <w:tc>
          <w:tcPr>
            <w:tcW w:w="1654" w:type="dxa"/>
            <w:vAlign w:val="center"/>
          </w:tcPr>
          <w:p w:rsidR="003679C0" w:rsidRPr="00DB1A65" w:rsidRDefault="003679C0" w:rsidP="00367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1 (1,03%)</w:t>
            </w:r>
          </w:p>
        </w:tc>
        <w:tc>
          <w:tcPr>
            <w:tcW w:w="1655" w:type="dxa"/>
            <w:vAlign w:val="center"/>
          </w:tcPr>
          <w:p w:rsidR="003679C0" w:rsidRPr="00DB1A65" w:rsidRDefault="003679C0" w:rsidP="00367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3 (2,86%)</w:t>
            </w:r>
          </w:p>
        </w:tc>
        <w:tc>
          <w:tcPr>
            <w:tcW w:w="1611" w:type="dxa"/>
            <w:vAlign w:val="center"/>
          </w:tcPr>
          <w:p w:rsidR="003679C0" w:rsidRPr="00DB1A65" w:rsidRDefault="003679C0" w:rsidP="00367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2 (2,06%)</w:t>
            </w:r>
          </w:p>
        </w:tc>
        <w:tc>
          <w:tcPr>
            <w:tcW w:w="1666" w:type="dxa"/>
            <w:vAlign w:val="center"/>
          </w:tcPr>
          <w:p w:rsidR="003679C0" w:rsidRPr="00DB1A65" w:rsidRDefault="003679C0" w:rsidP="00367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5 (4,76%)</w:t>
            </w:r>
          </w:p>
        </w:tc>
      </w:tr>
      <w:tr w:rsidR="003679C0" w:rsidTr="003679C0">
        <w:tc>
          <w:tcPr>
            <w:tcW w:w="2985" w:type="dxa"/>
            <w:vAlign w:val="center"/>
          </w:tcPr>
          <w:p w:rsidR="003679C0" w:rsidRDefault="003679C0" w:rsidP="003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Отлом части корня или культи, перелом корня</w:t>
            </w:r>
          </w:p>
        </w:tc>
        <w:tc>
          <w:tcPr>
            <w:tcW w:w="1654" w:type="dxa"/>
            <w:vAlign w:val="center"/>
          </w:tcPr>
          <w:p w:rsidR="003679C0" w:rsidRPr="00DB1A65" w:rsidRDefault="003679C0" w:rsidP="00367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1 (1,03%)</w:t>
            </w:r>
          </w:p>
        </w:tc>
        <w:tc>
          <w:tcPr>
            <w:tcW w:w="1655" w:type="dxa"/>
            <w:vAlign w:val="center"/>
          </w:tcPr>
          <w:p w:rsidR="003679C0" w:rsidRPr="00DB1A65" w:rsidRDefault="003679C0" w:rsidP="00367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2 (1,90%)</w:t>
            </w:r>
          </w:p>
        </w:tc>
        <w:tc>
          <w:tcPr>
            <w:tcW w:w="1611" w:type="dxa"/>
            <w:vAlign w:val="center"/>
          </w:tcPr>
          <w:p w:rsidR="003679C0" w:rsidRPr="00DB1A65" w:rsidRDefault="003679C0" w:rsidP="00367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1 (1,03%)</w:t>
            </w:r>
          </w:p>
        </w:tc>
        <w:tc>
          <w:tcPr>
            <w:tcW w:w="1666" w:type="dxa"/>
            <w:vAlign w:val="center"/>
          </w:tcPr>
          <w:p w:rsidR="003679C0" w:rsidRPr="00DB1A65" w:rsidRDefault="003679C0" w:rsidP="003679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5 (4,76%)</w:t>
            </w:r>
          </w:p>
        </w:tc>
      </w:tr>
      <w:tr w:rsidR="003679C0" w:rsidTr="003679C0">
        <w:trPr>
          <w:trHeight w:val="103"/>
        </w:trPr>
        <w:tc>
          <w:tcPr>
            <w:tcW w:w="2985" w:type="dxa"/>
            <w:vAlign w:val="center"/>
          </w:tcPr>
          <w:p w:rsidR="003679C0" w:rsidRDefault="003679C0" w:rsidP="003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осложнения</w:t>
            </w:r>
          </w:p>
        </w:tc>
        <w:tc>
          <w:tcPr>
            <w:tcW w:w="1654" w:type="dxa"/>
            <w:vAlign w:val="center"/>
          </w:tcPr>
          <w:p w:rsidR="003679C0" w:rsidRPr="00DB1A65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2 (2,06%)</w:t>
            </w:r>
          </w:p>
        </w:tc>
        <w:tc>
          <w:tcPr>
            <w:tcW w:w="1655" w:type="dxa"/>
            <w:vAlign w:val="center"/>
          </w:tcPr>
          <w:p w:rsidR="003679C0" w:rsidRPr="00DB1A65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7 (6,66%)</w:t>
            </w:r>
          </w:p>
        </w:tc>
        <w:tc>
          <w:tcPr>
            <w:tcW w:w="1611" w:type="dxa"/>
            <w:vAlign w:val="center"/>
          </w:tcPr>
          <w:p w:rsidR="003679C0" w:rsidRPr="00DB1A65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3 (3,09%)</w:t>
            </w:r>
          </w:p>
        </w:tc>
        <w:tc>
          <w:tcPr>
            <w:tcW w:w="1666" w:type="dxa"/>
            <w:vAlign w:val="center"/>
          </w:tcPr>
          <w:p w:rsidR="003679C0" w:rsidRPr="00DB1A65" w:rsidRDefault="003679C0" w:rsidP="00367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65">
              <w:rPr>
                <w:rFonts w:ascii="Times New Roman" w:hAnsi="Times New Roman" w:cs="Times New Roman"/>
                <w:sz w:val="28"/>
                <w:szCs w:val="28"/>
              </w:rPr>
              <w:t>14 (13,32%)</w:t>
            </w:r>
          </w:p>
        </w:tc>
      </w:tr>
    </w:tbl>
    <w:p w:rsidR="003679C0" w:rsidRPr="003679C0" w:rsidRDefault="003679C0" w:rsidP="0036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3679C0" w:rsidRDefault="003679C0" w:rsidP="00367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обработки полученных результатов различие уровней осложнений в основной и контрольной группах через 3 года после фиксации ортопедических конструкций статистически достоверно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1CAB">
        <w:rPr>
          <w:rFonts w:ascii="Times New Roman" w:hAnsi="Times New Roman" w:cs="Times New Roman"/>
          <w:sz w:val="28"/>
          <w:szCs w:val="28"/>
        </w:rPr>
        <w:t>&lt;0,05).</w:t>
      </w:r>
    </w:p>
    <w:p w:rsidR="00DE351C" w:rsidRPr="006C5430" w:rsidRDefault="00DE351C" w:rsidP="00DE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предложенная методика подготовки опорных зубов под штифтовые конструкции, разработанная на основании проведенных клинико-лабораторных исследованиях, показала свою эффективность в виде снижения уровня осложнений, а также более высокого уровня краевого прилегания.</w:t>
      </w:r>
    </w:p>
    <w:p w:rsidR="00DE351C" w:rsidRDefault="00DE351C" w:rsidP="003B6438">
      <w:pPr>
        <w:spacing w:after="0" w:line="240" w:lineRule="auto"/>
      </w:pPr>
    </w:p>
    <w:p w:rsidR="003B6438" w:rsidRDefault="003B6438" w:rsidP="003B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D693F" w:rsidRDefault="008D693F" w:rsidP="008D693F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 эндодонтических вмешательствах (депульпация по ортопедическим показаниям, лечение пульпитов и периодонтитов) для обтурации корневых каналов зубов в  бюджетных ЛПУ, работающих в системе ОМС, чаще используются такие методы как резорцин-формалиновый и пломбирование канала цинкоксидэвгеноловой пастой - 15,49±2,04% и 2,35±0,36% соответственно. В платных кабинетах различных форм собственности у подавляющего числа (99,2±12,7%) пациентов применяется более современный метод (латеральной конденсации гуттаперчи), и лишь эпизодически (0,8±0,13%) - резорцин-формалиновый, а пломбирование пастой - не применяется.</w:t>
      </w:r>
    </w:p>
    <w:p w:rsidR="008D693F" w:rsidRDefault="008D693F" w:rsidP="008D693F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микротвердости дентина интактных и депульпированных зубов показал ее зависимость от метода пломбирования корневых каналов. Наибольшее (на 13,03%) снижение твердости отмечалось при пломбировании цинкоксидэвгеноловой пастой, </w:t>
      </w:r>
      <w:r>
        <w:rPr>
          <w:sz w:val="28"/>
          <w:szCs w:val="28"/>
        </w:rPr>
        <w:lastRenderedPageBreak/>
        <w:t>при резорцин-формалиновом и методе латеральной конденсации гуттаперчи оно значительно меньше (на 6,93% и 3,43% соответственно, р&lt;0,01). Отмечено наибольшее снижение микротвердости дентина в пришеечной трети корня зубов всех групп, что связано с особенностями гистологического строения этого участка.</w:t>
      </w:r>
    </w:p>
    <w:p w:rsidR="008D693F" w:rsidRDefault="008D693F" w:rsidP="008D693F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Герметичность закрытия дентинных канальцев значительно увеличивается при использовании поверхностного герметика, наносимого на стенки корневого канала после препарирования его под штифтовую конструкцию. Такая обработка позволяет снизить проникновение красителя в твердые ткани зуба в среднем на 60,0±4,35% по сравнению с традиционными методами подготовки корневых каналов (без использования герметика).</w:t>
      </w:r>
    </w:p>
    <w:p w:rsidR="008D693F" w:rsidRDefault="008D693F" w:rsidP="008D693F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зависимость между степенью разрушения твердых тканей коронковой части зуба, методом препарирования пришеечной области и предельной прочностью системы «зуб – штифтовая культевая вкладка – литая коронка». Наиболее эффективным методом, вне зависимости от степени разрушения твердых тканей зуба, является формирование культи опорного зуба с круговым уступом под углом 135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в пришеечной части и перекрытием краем </w:t>
      </w:r>
      <w:r w:rsidR="001E1BFF">
        <w:rPr>
          <w:sz w:val="28"/>
          <w:szCs w:val="28"/>
        </w:rPr>
        <w:t>искусствен</w:t>
      </w:r>
      <w:r>
        <w:rPr>
          <w:sz w:val="28"/>
          <w:szCs w:val="28"/>
        </w:rPr>
        <w:t>ной коронки границы «культя – ткани зуба». Предельная прочность системы при такой подготовке на 22,66±3,41% и 8,44±2,64% выше, чем при создании уступа 90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или без уступа соответственно (р&lt;0,05).</w:t>
      </w:r>
    </w:p>
    <w:p w:rsidR="008D693F" w:rsidRDefault="008D693F" w:rsidP="008D693F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Вестибулярный или оральный наклон системы «зуб – штифтовая культевая вкладка – коронка» более 20º выявил снижение предельной прочности для всех моделей в среднем на 455,33±17,4 Н по сравнению с нулевым наклоном; при мезиальном или дистальном наклоне зуба в так</w:t>
      </w:r>
      <w:r w:rsidR="00D455F8">
        <w:rPr>
          <w:sz w:val="28"/>
          <w:szCs w:val="28"/>
        </w:rPr>
        <w:t>ом</w:t>
      </w:r>
      <w:r>
        <w:rPr>
          <w:sz w:val="28"/>
          <w:szCs w:val="28"/>
        </w:rPr>
        <w:t xml:space="preserve"> же </w:t>
      </w:r>
      <w:r w:rsidR="00D455F8">
        <w:rPr>
          <w:sz w:val="28"/>
          <w:szCs w:val="28"/>
        </w:rPr>
        <w:t>диапазоне</w:t>
      </w:r>
      <w:r>
        <w:rPr>
          <w:sz w:val="28"/>
          <w:szCs w:val="28"/>
        </w:rPr>
        <w:t xml:space="preserve"> предельная прочность системы уменьшалась в среднем на 521,94±20,84 Н (р&lt;0,05). Дальнейшее увеличение угла наклона моделей до 45º снижало прочность системы от 20,3±4,3% до 60,9±6,7% от максимального значения предельной прочности.</w:t>
      </w:r>
    </w:p>
    <w:p w:rsidR="008D693F" w:rsidRDefault="008D693F" w:rsidP="008D693F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Предложенная методика подготовки опорных зубов с применением поверхностного герметика с учетом формы культи и угла наклона коронковой части при ортопедическом лечении пациентов несъемными протезами позволяет снизить вероятность таких осложнений, как кариес опорного зуба и перелом корня, развитие деструктивных форм периодонтитов</w:t>
      </w:r>
      <w:r w:rsidR="00D455F8">
        <w:rPr>
          <w:sz w:val="28"/>
          <w:szCs w:val="28"/>
        </w:rPr>
        <w:t xml:space="preserve"> в среднем в 4,7 раза в отдаленные сроки</w:t>
      </w:r>
      <w:r>
        <w:rPr>
          <w:sz w:val="28"/>
          <w:szCs w:val="28"/>
        </w:rPr>
        <w:t>, а также улучшить краевое прилегание покрывных конструкций.</w:t>
      </w:r>
    </w:p>
    <w:p w:rsidR="003B6438" w:rsidRDefault="003B6438" w:rsidP="003B64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6438" w:rsidRDefault="003B6438" w:rsidP="003B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Практические рекомендации</w:t>
      </w:r>
    </w:p>
    <w:p w:rsidR="003B6438" w:rsidRDefault="003B6438" w:rsidP="003B64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6438" w:rsidRDefault="003B6438" w:rsidP="00126B45">
      <w:pPr>
        <w:pStyle w:val="a3"/>
        <w:numPr>
          <w:ilvl w:val="0"/>
          <w:numId w:val="5"/>
        </w:numPr>
        <w:ind w:left="426"/>
        <w:jc w:val="both"/>
        <w:rPr>
          <w:sz w:val="28"/>
        </w:rPr>
      </w:pPr>
      <w:r>
        <w:rPr>
          <w:sz w:val="28"/>
        </w:rPr>
        <w:t>В связи со значительным (на 11,61%) снижением микротвердости депульпированных зубов, каналы которых запломбированы цинкоксидэвгеноловой пастой, рекомендуется отказаться от применения данного метода обтурации корневых каналов для снижения числа осложнений и увеличения срока службы опорных зубов.</w:t>
      </w:r>
    </w:p>
    <w:p w:rsidR="003B6438" w:rsidRPr="00540410" w:rsidRDefault="003B6438" w:rsidP="00126B45">
      <w:pPr>
        <w:pStyle w:val="a3"/>
        <w:numPr>
          <w:ilvl w:val="0"/>
          <w:numId w:val="5"/>
        </w:numPr>
        <w:ind w:left="426"/>
        <w:jc w:val="both"/>
        <w:rPr>
          <w:sz w:val="28"/>
        </w:rPr>
      </w:pPr>
      <w:r w:rsidRPr="00540410">
        <w:rPr>
          <w:sz w:val="28"/>
        </w:rPr>
        <w:lastRenderedPageBreak/>
        <w:t xml:space="preserve">При эндодонтических манипуляциях в  опорных зубах, проводимых в рамках общей и специальной подготовки полости рта к протезированию рекомендуется использовать разработанный алгоритм,  включающий применение поверхностного герметика для покрытия стенок корневого канала и полости зуба, а для фиксации штифтовой культевой вкладки после применения поверхностного герметика </w:t>
      </w:r>
      <w:r>
        <w:rPr>
          <w:sz w:val="28"/>
        </w:rPr>
        <w:t>-</w:t>
      </w:r>
      <w:r w:rsidRPr="00540410">
        <w:rPr>
          <w:sz w:val="28"/>
        </w:rPr>
        <w:t xml:space="preserve"> использование композитных цементов. </w:t>
      </w:r>
    </w:p>
    <w:p w:rsidR="003B6438" w:rsidRPr="006C6AA7" w:rsidRDefault="003B6438" w:rsidP="00126B45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</w:rPr>
        <w:t>При покрытии опорных зубов</w:t>
      </w:r>
      <w:r w:rsidRPr="006070DC">
        <w:rPr>
          <w:sz w:val="28"/>
        </w:rPr>
        <w:t xml:space="preserve"> </w:t>
      </w:r>
      <w:r>
        <w:rPr>
          <w:sz w:val="28"/>
        </w:rPr>
        <w:t xml:space="preserve">несъемными протезами, коронковая часть которых восстановлена штифтовой культевой вкладкой, </w:t>
      </w:r>
      <w:r w:rsidRPr="00E57FC3">
        <w:rPr>
          <w:sz w:val="28"/>
        </w:rPr>
        <w:t xml:space="preserve">целесообразно создавать уступ </w:t>
      </w:r>
      <w:r w:rsidR="00D455F8">
        <w:rPr>
          <w:sz w:val="28"/>
        </w:rPr>
        <w:t xml:space="preserve">в </w:t>
      </w:r>
      <w:r w:rsidRPr="00E57FC3">
        <w:rPr>
          <w:sz w:val="28"/>
        </w:rPr>
        <w:t>пришеечной части 135</w:t>
      </w:r>
      <w:r>
        <w:rPr>
          <w:sz w:val="28"/>
        </w:rPr>
        <w:t xml:space="preserve">º, </w:t>
      </w:r>
      <w:r w:rsidRPr="00E57FC3">
        <w:rPr>
          <w:sz w:val="28"/>
        </w:rPr>
        <w:t xml:space="preserve"> </w:t>
      </w:r>
      <w:r>
        <w:rPr>
          <w:sz w:val="28"/>
        </w:rPr>
        <w:t>ч</w:t>
      </w:r>
      <w:r w:rsidRPr="00E57FC3">
        <w:rPr>
          <w:sz w:val="28"/>
        </w:rPr>
        <w:t>то позволяет достичь высокой прочности системы «зуб-</w:t>
      </w:r>
      <w:r>
        <w:rPr>
          <w:sz w:val="28"/>
        </w:rPr>
        <w:t>штифтовая вкладка-покрывная коронка</w:t>
      </w:r>
      <w:r w:rsidRPr="00E57FC3">
        <w:rPr>
          <w:sz w:val="28"/>
        </w:rPr>
        <w:t>»</w:t>
      </w:r>
      <w:r>
        <w:rPr>
          <w:sz w:val="28"/>
        </w:rPr>
        <w:t>, достичь  хорошего краевого прилегания и улучшить эстетические характеристики</w:t>
      </w:r>
      <w:r w:rsidRPr="00E57FC3">
        <w:rPr>
          <w:sz w:val="28"/>
        </w:rPr>
        <w:t>.</w:t>
      </w:r>
    </w:p>
    <w:p w:rsidR="003B6438" w:rsidRPr="00E57FC3" w:rsidRDefault="003B6438" w:rsidP="00126B45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</w:rPr>
        <w:t>Для снижения вероятности перелома корня зуба при изготовлении штифтовых культевых вкладок целесообразно изготавливать покрывную конструкцию с «эффектом обода», то есть перекрыть границу «ткани зуба – штифтовая культевая вкладка».</w:t>
      </w:r>
    </w:p>
    <w:p w:rsidR="003B6438" w:rsidRPr="00126B45" w:rsidRDefault="003B6438" w:rsidP="00126B45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E57FC3">
        <w:rPr>
          <w:sz w:val="28"/>
        </w:rPr>
        <w:t>При замещении дефектов твердых тканей зубов и зубных рядов, осложненных аномальным положением опорных зубов (наклон более 20</w:t>
      </w:r>
      <w:r>
        <w:rPr>
          <w:sz w:val="28"/>
        </w:rPr>
        <w:t>º</w:t>
      </w:r>
      <w:r w:rsidRPr="00E57FC3">
        <w:rPr>
          <w:sz w:val="28"/>
        </w:rPr>
        <w:t xml:space="preserve"> от нормального положения) </w:t>
      </w:r>
      <w:r>
        <w:rPr>
          <w:sz w:val="28"/>
        </w:rPr>
        <w:t>необходим</w:t>
      </w:r>
      <w:r w:rsidRPr="00E57FC3">
        <w:rPr>
          <w:sz w:val="28"/>
        </w:rPr>
        <w:t>о нормализовать положение таких зубов в зубном ряду ортодонтическими методами.</w:t>
      </w:r>
    </w:p>
    <w:p w:rsidR="00126B45" w:rsidRPr="006F688B" w:rsidRDefault="006F688B" w:rsidP="006F68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работ, оп</w:t>
      </w:r>
      <w:r w:rsidRPr="006F688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F688B">
        <w:rPr>
          <w:rFonts w:ascii="Times New Roman" w:hAnsi="Times New Roman" w:cs="Times New Roman"/>
          <w:b/>
          <w:sz w:val="28"/>
          <w:szCs w:val="28"/>
        </w:rPr>
        <w:t>ликованных по теме диссертации</w:t>
      </w:r>
    </w:p>
    <w:p w:rsidR="00F96113" w:rsidRPr="002F27D1" w:rsidRDefault="00F96113" w:rsidP="006F688B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7D1">
        <w:rPr>
          <w:rFonts w:ascii="Times New Roman" w:hAnsi="Times New Roman" w:cs="Times New Roman"/>
          <w:i/>
          <w:sz w:val="28"/>
          <w:szCs w:val="28"/>
        </w:rPr>
        <w:t>Массарский, И.Г. Сталктит, сталагмит или сталагнат? [Текст] / Аболмасов</w:t>
      </w:r>
      <w:r w:rsidR="002F27D1" w:rsidRPr="002F27D1">
        <w:rPr>
          <w:rFonts w:ascii="Times New Roman" w:hAnsi="Times New Roman" w:cs="Times New Roman"/>
          <w:i/>
          <w:sz w:val="28"/>
          <w:szCs w:val="28"/>
        </w:rPr>
        <w:t xml:space="preserve"> Н.Г.</w:t>
      </w:r>
      <w:r w:rsidRPr="002F27D1">
        <w:rPr>
          <w:rFonts w:ascii="Times New Roman" w:hAnsi="Times New Roman" w:cs="Times New Roman"/>
          <w:i/>
          <w:sz w:val="28"/>
          <w:szCs w:val="28"/>
        </w:rPr>
        <w:t>, Массарский</w:t>
      </w:r>
      <w:r w:rsidR="002F27D1" w:rsidRPr="002F27D1">
        <w:rPr>
          <w:rFonts w:ascii="Times New Roman" w:hAnsi="Times New Roman" w:cs="Times New Roman"/>
          <w:i/>
          <w:sz w:val="28"/>
          <w:szCs w:val="28"/>
        </w:rPr>
        <w:t xml:space="preserve"> И.Г.</w:t>
      </w:r>
      <w:r w:rsidRPr="002F27D1">
        <w:rPr>
          <w:rFonts w:ascii="Times New Roman" w:hAnsi="Times New Roman" w:cs="Times New Roman"/>
          <w:i/>
          <w:sz w:val="28"/>
          <w:szCs w:val="28"/>
        </w:rPr>
        <w:t>, Ковальков</w:t>
      </w:r>
      <w:r w:rsidR="002F27D1" w:rsidRPr="002F27D1">
        <w:rPr>
          <w:rFonts w:ascii="Times New Roman" w:hAnsi="Times New Roman" w:cs="Times New Roman"/>
          <w:i/>
          <w:sz w:val="28"/>
          <w:szCs w:val="28"/>
        </w:rPr>
        <w:t xml:space="preserve"> В.К.</w:t>
      </w:r>
      <w:r w:rsidRPr="002F27D1">
        <w:rPr>
          <w:rFonts w:ascii="Times New Roman" w:hAnsi="Times New Roman" w:cs="Times New Roman"/>
          <w:i/>
          <w:sz w:val="28"/>
          <w:szCs w:val="28"/>
        </w:rPr>
        <w:t xml:space="preserve">, Аболмасов </w:t>
      </w:r>
      <w:r w:rsidR="002F27D1" w:rsidRPr="002F27D1">
        <w:rPr>
          <w:rFonts w:ascii="Times New Roman" w:hAnsi="Times New Roman" w:cs="Times New Roman"/>
          <w:i/>
          <w:sz w:val="28"/>
          <w:szCs w:val="28"/>
        </w:rPr>
        <w:t xml:space="preserve">Н.Н. </w:t>
      </w:r>
      <w:r w:rsidRPr="002F27D1">
        <w:rPr>
          <w:rFonts w:ascii="Times New Roman" w:hAnsi="Times New Roman" w:cs="Times New Roman"/>
          <w:i/>
          <w:sz w:val="28"/>
          <w:szCs w:val="28"/>
        </w:rPr>
        <w:t>// Институт стоматологии. – 2007. - №1(34). – С. 66-67.</w:t>
      </w:r>
    </w:p>
    <w:p w:rsidR="006F688B" w:rsidRPr="00766F69" w:rsidRDefault="006F688B" w:rsidP="006F688B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Массарский, И.Г. Твердость тканей зуба в норме, после депульпирования и при заболеваниях пародонта [Текст] / Массарский И.Г.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F69">
        <w:rPr>
          <w:rFonts w:ascii="Times New Roman" w:hAnsi="Times New Roman" w:cs="Times New Roman"/>
          <w:sz w:val="28"/>
          <w:szCs w:val="28"/>
        </w:rPr>
        <w:t xml:space="preserve"> Аболмасов Н.Н., Ковальков В.К. // Материалы международной научно-практической конференции 10-11 июня 2008 г. – Смоленск, 2008. – С. 97-99.</w:t>
      </w:r>
    </w:p>
    <w:p w:rsidR="006F688B" w:rsidRPr="00766F69" w:rsidRDefault="006F688B" w:rsidP="006F688B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Массарский, И.Г. Твердость эмали и дентина интактных, депульпированных и зубов, удаленных по поводу пародонтита [Текст] / Массарский И.Г.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F69">
        <w:rPr>
          <w:rFonts w:ascii="Times New Roman" w:hAnsi="Times New Roman" w:cs="Times New Roman"/>
          <w:sz w:val="28"/>
          <w:szCs w:val="28"/>
        </w:rPr>
        <w:t xml:space="preserve"> Аболмасов Н.Н., Ковальков В.К.  // Тезисы докладов 60-й студенческой научно-практической конференции, 36-й конференции молодых ученых. – Смоленск, 2008. – С. 138-140.</w:t>
      </w:r>
    </w:p>
    <w:p w:rsidR="006F688B" w:rsidRPr="00766F69" w:rsidRDefault="006F688B" w:rsidP="006F688B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Массарский, И.Г. Микротвердость тканей интактных, депульпированных зубов и удаленных по поводу пародонтита [Текст] / Массарский И.Г.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F69">
        <w:rPr>
          <w:rFonts w:ascii="Times New Roman" w:hAnsi="Times New Roman" w:cs="Times New Roman"/>
          <w:sz w:val="28"/>
          <w:szCs w:val="28"/>
        </w:rPr>
        <w:t xml:space="preserve"> Аболмасов Н.Н. // Материалы международной научно-практической конференции 19-20 июня 2009 г. – Смоленск, 2009. – С. 107-109.</w:t>
      </w:r>
    </w:p>
    <w:p w:rsidR="006F688B" w:rsidRPr="00766F69" w:rsidRDefault="006F688B" w:rsidP="006F688B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Массарский, И.Г. Рациональный выбор инструментов и алгоритм их применения при подготовке зубов для несъемных протезов [Текст] / Массарский И.Г.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F69">
        <w:rPr>
          <w:rFonts w:ascii="Times New Roman" w:hAnsi="Times New Roman" w:cs="Times New Roman"/>
          <w:sz w:val="28"/>
          <w:szCs w:val="28"/>
        </w:rPr>
        <w:t xml:space="preserve"> Аболмасов Н.Н. // Новое в стоматологии. – 2009. - №3(159). – С. 59-62.</w:t>
      </w:r>
    </w:p>
    <w:p w:rsidR="006F688B" w:rsidRPr="00766F69" w:rsidRDefault="006F688B" w:rsidP="006F688B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lastRenderedPageBreak/>
        <w:t>Массарский, И.Г. Депульпирование зубов в системе специальной подготовки полости рта к протезированию [Текст] / Ковальков В.К., Ковалькова Н.Ф., Ломовских Н.А., Массарский И.Г., Троицкая В.Н. // Вестник Смоленской медицинской академии. – 2010. - №2. – С. 70-71.</w:t>
      </w:r>
    </w:p>
    <w:p w:rsidR="006F688B" w:rsidRPr="00766F69" w:rsidRDefault="006F688B" w:rsidP="006F688B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69">
        <w:rPr>
          <w:rFonts w:ascii="Times New Roman" w:hAnsi="Times New Roman" w:cs="Times New Roman"/>
          <w:sz w:val="28"/>
          <w:szCs w:val="28"/>
        </w:rPr>
        <w:t>Массарский, И.Г. Сравнительный анализ микротвердости дентина депульпированных зубов [Текст] / Массарский И.Г.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F69">
        <w:rPr>
          <w:rFonts w:ascii="Times New Roman" w:hAnsi="Times New Roman" w:cs="Times New Roman"/>
          <w:sz w:val="28"/>
          <w:szCs w:val="28"/>
        </w:rPr>
        <w:t xml:space="preserve"> Аболмасов Н.Н. // Стоматология Смоленщины. – 2011. – С. 74-78.</w:t>
      </w:r>
    </w:p>
    <w:p w:rsidR="006F688B" w:rsidRPr="006452A8" w:rsidRDefault="006F688B" w:rsidP="006F688B">
      <w:pPr>
        <w:pStyle w:val="a3"/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452A8">
        <w:rPr>
          <w:i/>
          <w:sz w:val="28"/>
          <w:szCs w:val="28"/>
        </w:rPr>
        <w:t>Массарский, И.Г. Депульпирование зубов в системе подготовки полости рта к протезированию – необходимость и/или ятрогения? (размышления и клинико-лабораторное обоснование) [Текст] / Аболмасов Н.Г., Аболмасов Н.Н., Ковальков В.К., Массарский И.Г., Сердюков М.С. // Институт стоматологии. – 2012. - №2. - С. 28-30.</w:t>
      </w:r>
    </w:p>
    <w:p w:rsidR="006F688B" w:rsidRPr="00766F69" w:rsidRDefault="006F688B" w:rsidP="006F688B">
      <w:pPr>
        <w:pStyle w:val="a3"/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766F69">
        <w:rPr>
          <w:sz w:val="28"/>
          <w:szCs w:val="28"/>
        </w:rPr>
        <w:t>Массарский, И.Г. Использование поверхностных герметиков при специальной терапевтической подготовке полости рта к протезированию [Текст] / Массарский И.Г.</w:t>
      </w:r>
      <w:r>
        <w:rPr>
          <w:sz w:val="28"/>
          <w:szCs w:val="28"/>
        </w:rPr>
        <w:t>,</w:t>
      </w:r>
      <w:r w:rsidRPr="00766F69">
        <w:rPr>
          <w:sz w:val="28"/>
          <w:szCs w:val="28"/>
        </w:rPr>
        <w:t xml:space="preserve"> Аболмасов Н.Н. // Вестник Смоленской государственной медицинской академии. Спецвыпуск, посвященный 50-летию образования стоматологического факультета. – 2013. – 36-38.</w:t>
      </w:r>
    </w:p>
    <w:p w:rsidR="006F688B" w:rsidRPr="006452A8" w:rsidRDefault="006F688B" w:rsidP="006F688B">
      <w:pPr>
        <w:pStyle w:val="a3"/>
        <w:numPr>
          <w:ilvl w:val="0"/>
          <w:numId w:val="7"/>
        </w:numPr>
        <w:tabs>
          <w:tab w:val="clear" w:pos="720"/>
          <w:tab w:val="num" w:pos="0"/>
          <w:tab w:val="num" w:pos="426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452A8">
        <w:rPr>
          <w:i/>
          <w:sz w:val="28"/>
          <w:szCs w:val="28"/>
        </w:rPr>
        <w:t>Массарский, И.Г. Математическое моделирование и конечно-элементный анализ напряженно-деформированного состояния системы «зуб-штифтовая культевая вкладка-литая коронка» [Текст] / Массарский И.Г.</w:t>
      </w:r>
      <w:r>
        <w:rPr>
          <w:i/>
          <w:sz w:val="28"/>
          <w:szCs w:val="28"/>
        </w:rPr>
        <w:t>,</w:t>
      </w:r>
      <w:r w:rsidRPr="006452A8">
        <w:rPr>
          <w:i/>
          <w:sz w:val="28"/>
          <w:szCs w:val="28"/>
        </w:rPr>
        <w:t xml:space="preserve"> Аболмасов Н.Н. // Институт стоматологии. – 2014. - №2. – С. 95-97.</w:t>
      </w:r>
    </w:p>
    <w:p w:rsidR="006F688B" w:rsidRDefault="006F688B" w:rsidP="006F68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8B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6F688B" w:rsidRPr="007F05EE" w:rsidRDefault="007F05EE" w:rsidP="0093186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5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на </w:t>
      </w:r>
      <w:r w:rsidR="00931867">
        <w:rPr>
          <w:rFonts w:ascii="Times New Roman" w:hAnsi="Times New Roman" w:cs="Times New Roman"/>
          <w:sz w:val="28"/>
          <w:szCs w:val="28"/>
        </w:rPr>
        <w:t>региональной а</w:t>
      </w:r>
      <w:r>
        <w:rPr>
          <w:rFonts w:ascii="Times New Roman" w:hAnsi="Times New Roman" w:cs="Times New Roman"/>
          <w:sz w:val="28"/>
          <w:szCs w:val="28"/>
        </w:rPr>
        <w:t>ссоциации стоматологов Смоленской области на тему: «Альтернативные методы подготовки зубов к протезированию штифтовыми конструкциями» - 26 февраля 2015 г.</w:t>
      </w:r>
    </w:p>
    <w:sectPr w:rsidR="006F688B" w:rsidRPr="007F05EE" w:rsidSect="003E2637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B5" w:rsidRDefault="008947B5" w:rsidP="003E2637">
      <w:pPr>
        <w:spacing w:after="0" w:line="240" w:lineRule="auto"/>
      </w:pPr>
      <w:r>
        <w:separator/>
      </w:r>
    </w:p>
  </w:endnote>
  <w:endnote w:type="continuationSeparator" w:id="0">
    <w:p w:rsidR="008947B5" w:rsidRDefault="008947B5" w:rsidP="003E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B5" w:rsidRDefault="008947B5" w:rsidP="003E2637">
      <w:pPr>
        <w:spacing w:after="0" w:line="240" w:lineRule="auto"/>
      </w:pPr>
      <w:r>
        <w:separator/>
      </w:r>
    </w:p>
  </w:footnote>
  <w:footnote w:type="continuationSeparator" w:id="0">
    <w:p w:rsidR="008947B5" w:rsidRDefault="008947B5" w:rsidP="003E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51C5" w:rsidRPr="003E2637" w:rsidRDefault="003951C5">
        <w:pPr>
          <w:pStyle w:val="a9"/>
          <w:jc w:val="center"/>
          <w:rPr>
            <w:rFonts w:ascii="Times New Roman" w:hAnsi="Times New Roman" w:cs="Times New Roman"/>
          </w:rPr>
        </w:pPr>
        <w:r w:rsidRPr="003E2637">
          <w:rPr>
            <w:rFonts w:ascii="Times New Roman" w:hAnsi="Times New Roman" w:cs="Times New Roman"/>
          </w:rPr>
          <w:fldChar w:fldCharType="begin"/>
        </w:r>
        <w:r w:rsidRPr="003E2637">
          <w:rPr>
            <w:rFonts w:ascii="Times New Roman" w:hAnsi="Times New Roman" w:cs="Times New Roman"/>
          </w:rPr>
          <w:instrText xml:space="preserve"> PAGE   \* MERGEFORMAT </w:instrText>
        </w:r>
        <w:r w:rsidRPr="003E2637">
          <w:rPr>
            <w:rFonts w:ascii="Times New Roman" w:hAnsi="Times New Roman" w:cs="Times New Roman"/>
          </w:rPr>
          <w:fldChar w:fldCharType="separate"/>
        </w:r>
        <w:r w:rsidR="003C1183">
          <w:rPr>
            <w:rFonts w:ascii="Times New Roman" w:hAnsi="Times New Roman" w:cs="Times New Roman"/>
            <w:noProof/>
          </w:rPr>
          <w:t>4</w:t>
        </w:r>
        <w:r w:rsidRPr="003E2637">
          <w:rPr>
            <w:rFonts w:ascii="Times New Roman" w:hAnsi="Times New Roman" w:cs="Times New Roman"/>
          </w:rPr>
          <w:fldChar w:fldCharType="end"/>
        </w:r>
      </w:p>
    </w:sdtContent>
  </w:sdt>
  <w:p w:rsidR="003951C5" w:rsidRPr="003E2637" w:rsidRDefault="003951C5">
    <w:pPr>
      <w:pStyle w:val="a9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DF"/>
    <w:multiLevelType w:val="hybridMultilevel"/>
    <w:tmpl w:val="F790FB92"/>
    <w:lvl w:ilvl="0" w:tplc="D8B0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00B88"/>
    <w:multiLevelType w:val="hybridMultilevel"/>
    <w:tmpl w:val="29B20218"/>
    <w:lvl w:ilvl="0" w:tplc="F84E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850E1"/>
    <w:multiLevelType w:val="hybridMultilevel"/>
    <w:tmpl w:val="4AF87E16"/>
    <w:lvl w:ilvl="0" w:tplc="5E3A4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54587"/>
    <w:multiLevelType w:val="hybridMultilevel"/>
    <w:tmpl w:val="2AF8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12405"/>
    <w:multiLevelType w:val="hybridMultilevel"/>
    <w:tmpl w:val="3918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90EB0"/>
    <w:multiLevelType w:val="hybridMultilevel"/>
    <w:tmpl w:val="1596A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6CBE"/>
    <w:multiLevelType w:val="hybridMultilevel"/>
    <w:tmpl w:val="A8CAB70E"/>
    <w:lvl w:ilvl="0" w:tplc="934C4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57"/>
    <w:rsid w:val="00016892"/>
    <w:rsid w:val="00052734"/>
    <w:rsid w:val="00096CD4"/>
    <w:rsid w:val="000D1C1E"/>
    <w:rsid w:val="000E29D7"/>
    <w:rsid w:val="000F28F7"/>
    <w:rsid w:val="00126B45"/>
    <w:rsid w:val="0014277B"/>
    <w:rsid w:val="00161C48"/>
    <w:rsid w:val="00170E97"/>
    <w:rsid w:val="001E1BFF"/>
    <w:rsid w:val="00260ED2"/>
    <w:rsid w:val="00277523"/>
    <w:rsid w:val="002835D6"/>
    <w:rsid w:val="002B6DDD"/>
    <w:rsid w:val="002F27D1"/>
    <w:rsid w:val="00325902"/>
    <w:rsid w:val="003668E6"/>
    <w:rsid w:val="003679C0"/>
    <w:rsid w:val="003951C5"/>
    <w:rsid w:val="003B6438"/>
    <w:rsid w:val="003C1183"/>
    <w:rsid w:val="003E2637"/>
    <w:rsid w:val="004C3E41"/>
    <w:rsid w:val="00535F0A"/>
    <w:rsid w:val="005A0A26"/>
    <w:rsid w:val="005A11FD"/>
    <w:rsid w:val="005C26ED"/>
    <w:rsid w:val="00623CFD"/>
    <w:rsid w:val="0067727D"/>
    <w:rsid w:val="00694CBC"/>
    <w:rsid w:val="006F688B"/>
    <w:rsid w:val="006F792C"/>
    <w:rsid w:val="00720E64"/>
    <w:rsid w:val="007E3222"/>
    <w:rsid w:val="007E6C1C"/>
    <w:rsid w:val="007F05EE"/>
    <w:rsid w:val="0082353B"/>
    <w:rsid w:val="00834E2E"/>
    <w:rsid w:val="008626F4"/>
    <w:rsid w:val="008947B5"/>
    <w:rsid w:val="008D693F"/>
    <w:rsid w:val="008E620D"/>
    <w:rsid w:val="008F61E8"/>
    <w:rsid w:val="00931867"/>
    <w:rsid w:val="0093738B"/>
    <w:rsid w:val="00956F64"/>
    <w:rsid w:val="009758EB"/>
    <w:rsid w:val="009A78C8"/>
    <w:rsid w:val="00A17605"/>
    <w:rsid w:val="00A370A1"/>
    <w:rsid w:val="00A4017E"/>
    <w:rsid w:val="00A741D1"/>
    <w:rsid w:val="00A820D4"/>
    <w:rsid w:val="00A8258F"/>
    <w:rsid w:val="00A8625B"/>
    <w:rsid w:val="00AA1B14"/>
    <w:rsid w:val="00AB4898"/>
    <w:rsid w:val="00AD2F67"/>
    <w:rsid w:val="00B0057F"/>
    <w:rsid w:val="00B008D0"/>
    <w:rsid w:val="00B01E9F"/>
    <w:rsid w:val="00B37D8D"/>
    <w:rsid w:val="00B904DA"/>
    <w:rsid w:val="00BB54E2"/>
    <w:rsid w:val="00C46091"/>
    <w:rsid w:val="00C474C7"/>
    <w:rsid w:val="00C90216"/>
    <w:rsid w:val="00D455F8"/>
    <w:rsid w:val="00D51F82"/>
    <w:rsid w:val="00D62700"/>
    <w:rsid w:val="00D73981"/>
    <w:rsid w:val="00D9094E"/>
    <w:rsid w:val="00DB7C31"/>
    <w:rsid w:val="00DE351C"/>
    <w:rsid w:val="00DE422E"/>
    <w:rsid w:val="00DE4A7C"/>
    <w:rsid w:val="00E076AC"/>
    <w:rsid w:val="00E41DD3"/>
    <w:rsid w:val="00E85657"/>
    <w:rsid w:val="00F3633A"/>
    <w:rsid w:val="00F3661A"/>
    <w:rsid w:val="00F96113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">
    <w:name w:val="body"/>
    <w:basedOn w:val="a0"/>
    <w:rsid w:val="00E85657"/>
  </w:style>
  <w:style w:type="paragraph" w:styleId="a3">
    <w:name w:val="List Paragraph"/>
    <w:basedOn w:val="a"/>
    <w:uiPriority w:val="34"/>
    <w:qFormat/>
    <w:rsid w:val="00E85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5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C31"/>
  </w:style>
  <w:style w:type="character" w:styleId="a6">
    <w:name w:val="Hyperlink"/>
    <w:basedOn w:val="a0"/>
    <w:uiPriority w:val="99"/>
    <w:semiHidden/>
    <w:unhideWhenUsed/>
    <w:rsid w:val="00DB7C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C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2637"/>
  </w:style>
  <w:style w:type="paragraph" w:styleId="ab">
    <w:name w:val="footer"/>
    <w:basedOn w:val="a"/>
    <w:link w:val="ac"/>
    <w:uiPriority w:val="99"/>
    <w:semiHidden/>
    <w:unhideWhenUsed/>
    <w:rsid w:val="003E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2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">
    <w:name w:val="body"/>
    <w:basedOn w:val="a0"/>
    <w:rsid w:val="00E85657"/>
  </w:style>
  <w:style w:type="paragraph" w:styleId="a3">
    <w:name w:val="List Paragraph"/>
    <w:basedOn w:val="a"/>
    <w:uiPriority w:val="34"/>
    <w:qFormat/>
    <w:rsid w:val="00E85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5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C31"/>
  </w:style>
  <w:style w:type="character" w:styleId="a6">
    <w:name w:val="Hyperlink"/>
    <w:basedOn w:val="a0"/>
    <w:uiPriority w:val="99"/>
    <w:semiHidden/>
    <w:unhideWhenUsed/>
    <w:rsid w:val="00DB7C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C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E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2637"/>
  </w:style>
  <w:style w:type="paragraph" w:styleId="ab">
    <w:name w:val="footer"/>
    <w:basedOn w:val="a"/>
    <w:link w:val="ac"/>
    <w:uiPriority w:val="99"/>
    <w:semiHidden/>
    <w:unhideWhenUsed/>
    <w:rsid w:val="003E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.lynx\Desktop\&#1044;&#1080;&#1089;&#1089;&#1077;&#1088;&#1090;&#1072;&#1094;&#1080;&#1103;\&#1053;&#1040;&#1058;&#1040;&#1064;&#1040;%20&#1044;&#1051;&#1071;%20&#1044;&#1048;&#1057;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.lynx\Desktop\&#1044;&#1080;&#1089;&#1089;&#1077;&#1088;&#1090;&#1072;&#1094;&#1080;&#1103;\&#1053;&#1040;&#1058;&#1040;&#1064;&#1040;%20&#1044;&#1051;&#1071;%20&#1044;&#1048;&#1057;\&#1050;&#1085;&#1080;&#1075;&#1072;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.lynx\Desktop\&#1044;&#1080;&#1089;&#1089;&#1077;&#1088;&#1090;&#1072;&#1094;&#1080;&#1103;\&#1053;&#1040;&#1058;&#1040;&#1064;&#1040;%20&#1044;&#1051;&#1071;%20&#1044;&#1048;&#1057;\&#1050;&#1085;&#1080;&#1075;&#1072;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.lynx\Desktop\&#1044;&#1080;&#1089;&#1089;&#1077;&#1088;&#1090;&#1072;&#1094;&#1080;&#1103;\&#1053;&#1040;&#1058;&#1040;&#1064;&#1040;%20&#1044;&#1051;&#1071;%20&#1044;&#1048;&#1057;\&#1050;&#1085;&#1080;&#1075;&#1072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r.lynx\Desktop\&#1044;&#1080;&#1089;&#1089;&#1077;&#1088;&#1090;&#1072;&#1094;&#1080;&#1103;\&#1053;&#1040;&#1058;&#1040;&#1064;&#1040;%20&#1044;&#1051;&#1071;%20&#1044;&#1048;&#1057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Диаграмма 1 - Предельная прочность моделей 1,2,3 в зависимости от наклона в мезиодистальном направлении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757812887883336"/>
          <c:y val="0.22389233333792352"/>
          <c:w val="0.74846996291557233"/>
          <c:h val="0.54603584715045661"/>
        </c:manualLayout>
      </c:layout>
      <c:lineChart>
        <c:grouping val="standard"/>
        <c:varyColors val="0"/>
        <c:ser>
          <c:idx val="0"/>
          <c:order val="0"/>
          <c:tx>
            <c:strRef>
              <c:f>Лист6!$A$5</c:f>
              <c:strCache>
                <c:ptCount val="1"/>
                <c:pt idx="0">
                  <c:v>Модель 1</c:v>
                </c:pt>
              </c:strCache>
            </c:strRef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Лист6!$B$5:$K$5</c:f>
              <c:numCache>
                <c:formatCode>General</c:formatCode>
                <c:ptCount val="10"/>
                <c:pt idx="0">
                  <c:v>1134</c:v>
                </c:pt>
                <c:pt idx="1">
                  <c:v>1128</c:v>
                </c:pt>
                <c:pt idx="2">
                  <c:v>1130</c:v>
                </c:pt>
                <c:pt idx="3">
                  <c:v>1150</c:v>
                </c:pt>
                <c:pt idx="4">
                  <c:v>1192</c:v>
                </c:pt>
                <c:pt idx="5">
                  <c:v>1006</c:v>
                </c:pt>
                <c:pt idx="6">
                  <c:v>820</c:v>
                </c:pt>
                <c:pt idx="7">
                  <c:v>702</c:v>
                </c:pt>
                <c:pt idx="8">
                  <c:v>612</c:v>
                </c:pt>
                <c:pt idx="9">
                  <c:v>540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Лист6!$A$6</c:f>
              <c:strCache>
                <c:ptCount val="1"/>
                <c:pt idx="0">
                  <c:v>Модель 2</c:v>
                </c:pt>
              </c:strCache>
            </c:strRef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Лист6!$B$6:$K$6</c:f>
              <c:numCache>
                <c:formatCode>General</c:formatCode>
                <c:ptCount val="10"/>
                <c:pt idx="0">
                  <c:v>1144</c:v>
                </c:pt>
                <c:pt idx="1">
                  <c:v>1160</c:v>
                </c:pt>
                <c:pt idx="2">
                  <c:v>1130</c:v>
                </c:pt>
                <c:pt idx="3">
                  <c:v>880</c:v>
                </c:pt>
                <c:pt idx="4">
                  <c:v>706</c:v>
                </c:pt>
                <c:pt idx="5">
                  <c:v>584</c:v>
                </c:pt>
                <c:pt idx="6">
                  <c:v>500</c:v>
                </c:pt>
                <c:pt idx="7">
                  <c:v>438</c:v>
                </c:pt>
                <c:pt idx="8">
                  <c:v>390</c:v>
                </c:pt>
                <c:pt idx="9">
                  <c:v>354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Лист6!$A$7</c:f>
              <c:strCache>
                <c:ptCount val="1"/>
                <c:pt idx="0">
                  <c:v>Модель 3</c:v>
                </c:pt>
              </c:strCache>
            </c:strRef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Лист6!$B$7:$K$7</c:f>
              <c:numCache>
                <c:formatCode>General</c:formatCode>
                <c:ptCount val="10"/>
                <c:pt idx="0">
                  <c:v>1104</c:v>
                </c:pt>
                <c:pt idx="1">
                  <c:v>1112</c:v>
                </c:pt>
                <c:pt idx="2">
                  <c:v>1126</c:v>
                </c:pt>
                <c:pt idx="3">
                  <c:v>1160</c:v>
                </c:pt>
                <c:pt idx="4">
                  <c:v>1218</c:v>
                </c:pt>
                <c:pt idx="5">
                  <c:v>1092</c:v>
                </c:pt>
                <c:pt idx="6">
                  <c:v>936</c:v>
                </c:pt>
                <c:pt idx="7">
                  <c:v>822</c:v>
                </c:pt>
                <c:pt idx="8">
                  <c:v>738</c:v>
                </c:pt>
                <c:pt idx="9">
                  <c:v>676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08056576"/>
        <c:axId val="108058496"/>
      </c:lineChart>
      <c:catAx>
        <c:axId val="108056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Угол наклона в мезиодистальном направлении (градусы)</a:t>
                </a:r>
              </a:p>
            </c:rich>
          </c:tx>
          <c:layout>
            <c:manualLayout>
              <c:xMode val="edge"/>
              <c:yMode val="edge"/>
              <c:x val="0.25129545140423776"/>
              <c:y val="0.8407602939698072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8058496"/>
        <c:crosses val="autoZero"/>
        <c:auto val="1"/>
        <c:lblAlgn val="ctr"/>
        <c:lblOffset val="100"/>
        <c:noMultiLvlLbl val="0"/>
      </c:catAx>
      <c:valAx>
        <c:axId val="108058496"/>
        <c:scaling>
          <c:orientation val="minMax"/>
          <c:max val="1300"/>
          <c:min val="2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Предельная прочность (Н)</a:t>
                </a:r>
              </a:p>
            </c:rich>
          </c:tx>
          <c:layout>
            <c:manualLayout>
              <c:xMode val="edge"/>
              <c:yMode val="edge"/>
              <c:x val="1.7157635096955906E-2"/>
              <c:y val="0.321212447039598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805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2367950383070892E-2"/>
          <c:y val="0.9194040489818055"/>
          <c:w val="0.93849773936913605"/>
          <c:h val="7.757530761699348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Диаграмма 2 - Предельная прочность моделей 4,5,6 в зависимости от наклона в мезиодистальном направлении</a:t>
            </a:r>
          </a:p>
        </c:rich>
      </c:tx>
      <c:layout>
        <c:manualLayout>
          <c:xMode val="edge"/>
          <c:yMode val="edge"/>
          <c:x val="0.13209995201380201"/>
          <c:y val="1.68170312298891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258143229654071"/>
          <c:y val="0.25013977826191403"/>
          <c:w val="0.74883400669846711"/>
          <c:h val="0.51313186157549062"/>
        </c:manualLayout>
      </c:layout>
      <c:lineChart>
        <c:grouping val="standard"/>
        <c:varyColors val="0"/>
        <c:ser>
          <c:idx val="0"/>
          <c:order val="0"/>
          <c:tx>
            <c:strRef>
              <c:f>Лист6!$A$8</c:f>
              <c:strCache>
                <c:ptCount val="1"/>
                <c:pt idx="0">
                  <c:v>Модель 4</c:v>
                </c:pt>
              </c:strCache>
            </c:strRef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Лист6!$B$8:$K$8</c:f>
              <c:numCache>
                <c:formatCode>General</c:formatCode>
                <c:ptCount val="10"/>
                <c:pt idx="0">
                  <c:v>1154</c:v>
                </c:pt>
                <c:pt idx="1">
                  <c:v>1168</c:v>
                </c:pt>
                <c:pt idx="2">
                  <c:v>1192</c:v>
                </c:pt>
                <c:pt idx="3">
                  <c:v>1232</c:v>
                </c:pt>
                <c:pt idx="4">
                  <c:v>1204</c:v>
                </c:pt>
                <c:pt idx="5">
                  <c:v>988</c:v>
                </c:pt>
                <c:pt idx="6">
                  <c:v>836</c:v>
                </c:pt>
                <c:pt idx="7">
                  <c:v>724</c:v>
                </c:pt>
                <c:pt idx="8">
                  <c:v>642</c:v>
                </c:pt>
                <c:pt idx="9">
                  <c:v>578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Лист6!$A$9</c:f>
              <c:strCache>
                <c:ptCount val="1"/>
                <c:pt idx="0">
                  <c:v>Модель 5</c:v>
                </c:pt>
              </c:strCache>
            </c:strRef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Лист6!$B$9:$K$9</c:f>
              <c:numCache>
                <c:formatCode>General</c:formatCode>
                <c:ptCount val="10"/>
                <c:pt idx="0">
                  <c:v>1108</c:v>
                </c:pt>
                <c:pt idx="1">
                  <c:v>1114</c:v>
                </c:pt>
                <c:pt idx="2">
                  <c:v>1130</c:v>
                </c:pt>
                <c:pt idx="3">
                  <c:v>878</c:v>
                </c:pt>
                <c:pt idx="4">
                  <c:v>702</c:v>
                </c:pt>
                <c:pt idx="5">
                  <c:v>580</c:v>
                </c:pt>
                <c:pt idx="6">
                  <c:v>494</c:v>
                </c:pt>
                <c:pt idx="7">
                  <c:v>430</c:v>
                </c:pt>
                <c:pt idx="8">
                  <c:v>384</c:v>
                </c:pt>
                <c:pt idx="9">
                  <c:v>348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Лист6!$A$10</c:f>
              <c:strCache>
                <c:ptCount val="1"/>
                <c:pt idx="0">
                  <c:v>Модель 6</c:v>
                </c:pt>
              </c:strCache>
            </c:strRef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Лист6!$B$10:$K$10</c:f>
              <c:numCache>
                <c:formatCode>General</c:formatCode>
                <c:ptCount val="10"/>
                <c:pt idx="0">
                  <c:v>1156</c:v>
                </c:pt>
                <c:pt idx="1">
                  <c:v>1170</c:v>
                </c:pt>
                <c:pt idx="2">
                  <c:v>1180</c:v>
                </c:pt>
                <c:pt idx="3">
                  <c:v>950</c:v>
                </c:pt>
                <c:pt idx="4">
                  <c:v>758</c:v>
                </c:pt>
                <c:pt idx="5">
                  <c:v>626</c:v>
                </c:pt>
                <c:pt idx="6">
                  <c:v>532</c:v>
                </c:pt>
                <c:pt idx="7">
                  <c:v>462</c:v>
                </c:pt>
                <c:pt idx="8">
                  <c:v>410</c:v>
                </c:pt>
                <c:pt idx="9">
                  <c:v>372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08544384"/>
        <c:axId val="108546304"/>
      </c:lineChart>
      <c:catAx>
        <c:axId val="108544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Угол наклона в мезиодистальном направлении (градусы)</a:t>
                </a:r>
              </a:p>
            </c:rich>
          </c:tx>
          <c:layout>
            <c:manualLayout>
              <c:xMode val="edge"/>
              <c:yMode val="edge"/>
              <c:x val="0.18343418958324562"/>
              <c:y val="0.8425203127906619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08546304"/>
        <c:crosses val="autoZero"/>
        <c:auto val="1"/>
        <c:lblAlgn val="ctr"/>
        <c:lblOffset val="100"/>
        <c:noMultiLvlLbl val="0"/>
      </c:catAx>
      <c:valAx>
        <c:axId val="108546304"/>
        <c:scaling>
          <c:orientation val="minMax"/>
          <c:max val="1300"/>
          <c:min val="3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Предельная прочность (Н)</a:t>
                </a:r>
              </a:p>
            </c:rich>
          </c:tx>
          <c:layout>
            <c:manualLayout>
              <c:xMode val="edge"/>
              <c:yMode val="edge"/>
              <c:x val="2.2339615631961789E-2"/>
              <c:y val="0.307758822055686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854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2047854449273647"/>
          <c:w val="0.99807244376018789"/>
          <c:h val="7.659900860346270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Диаграмма 3 - Предельная прочность модели 4 в зависимости от направления наклона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177489177489338"/>
          <c:y val="0.21641025641025707"/>
          <c:w val="0.67329004329004571"/>
          <c:h val="0.48702194501398482"/>
        </c:manualLayout>
      </c:layout>
      <c:lineChart>
        <c:grouping val="standard"/>
        <c:varyColors val="0"/>
        <c:ser>
          <c:idx val="0"/>
          <c:order val="0"/>
          <c:tx>
            <c:strRef>
              <c:f>'Модель 4'!$A$7</c:f>
              <c:strCache>
                <c:ptCount val="1"/>
                <c:pt idx="0">
                  <c:v>Предельная прочность (Н), вестибулооральный наклон</c:v>
                </c:pt>
              </c:strCache>
            </c:strRef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'Модель 4'!$B$7:$K$7</c:f>
              <c:numCache>
                <c:formatCode>General</c:formatCode>
                <c:ptCount val="10"/>
                <c:pt idx="0">
                  <c:v>1154</c:v>
                </c:pt>
                <c:pt idx="1">
                  <c:v>1168</c:v>
                </c:pt>
                <c:pt idx="2">
                  <c:v>1192</c:v>
                </c:pt>
                <c:pt idx="3">
                  <c:v>1232</c:v>
                </c:pt>
                <c:pt idx="4">
                  <c:v>1204</c:v>
                </c:pt>
                <c:pt idx="5">
                  <c:v>988</c:v>
                </c:pt>
                <c:pt idx="6">
                  <c:v>836</c:v>
                </c:pt>
                <c:pt idx="7">
                  <c:v>724</c:v>
                </c:pt>
                <c:pt idx="8">
                  <c:v>642</c:v>
                </c:pt>
                <c:pt idx="9">
                  <c:v>578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'Модель 4'!$A$8</c:f>
              <c:strCache>
                <c:ptCount val="1"/>
                <c:pt idx="0">
                  <c:v>Предельная прочность (Н), мезиодистальный наклон</c:v>
                </c:pt>
              </c:strCache>
            </c:strRef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'Модель 4'!$B$8:$K$8</c:f>
              <c:numCache>
                <c:formatCode>General</c:formatCode>
                <c:ptCount val="10"/>
                <c:pt idx="0">
                  <c:v>1154</c:v>
                </c:pt>
                <c:pt idx="1">
                  <c:v>1162</c:v>
                </c:pt>
                <c:pt idx="2">
                  <c:v>1176</c:v>
                </c:pt>
                <c:pt idx="3">
                  <c:v>1212</c:v>
                </c:pt>
                <c:pt idx="4">
                  <c:v>1040</c:v>
                </c:pt>
                <c:pt idx="5">
                  <c:v>862</c:v>
                </c:pt>
                <c:pt idx="6">
                  <c:v>730</c:v>
                </c:pt>
                <c:pt idx="7">
                  <c:v>636</c:v>
                </c:pt>
                <c:pt idx="8">
                  <c:v>566</c:v>
                </c:pt>
                <c:pt idx="9">
                  <c:v>514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08576768"/>
        <c:axId val="108578688"/>
      </c:lineChart>
      <c:catAx>
        <c:axId val="108576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Угол наклона (градусы)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8578688"/>
        <c:crosses val="autoZero"/>
        <c:auto val="1"/>
        <c:lblAlgn val="ctr"/>
        <c:lblOffset val="100"/>
        <c:noMultiLvlLbl val="0"/>
      </c:catAx>
      <c:valAx>
        <c:axId val="108578688"/>
        <c:scaling>
          <c:orientation val="minMax"/>
          <c:max val="1250"/>
          <c:min val="4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Предельная прочность (Н)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8576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391150777925148"/>
          <c:w val="0.9870129870129839"/>
          <c:h val="0.174235979123299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Диаграмма 4 - Среднее значение предельной прочности моделей 1,2,3 (разрушение коронки на 1/2) и моделей 4,5,6 (полное разрушение коронки) в зависимости от угла наклона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802129384989758"/>
          <c:y val="0.3275428227331933"/>
          <c:w val="0.84030240405995749"/>
          <c:h val="0.45474424175781031"/>
        </c:manualLayout>
      </c:layout>
      <c:lineChart>
        <c:grouping val="standard"/>
        <c:varyColors val="0"/>
        <c:ser>
          <c:idx val="0"/>
          <c:order val="0"/>
          <c:tx>
            <c:v>Разрушение коронки на 1/2 (модели 1,2,3)</c:v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Лист3!$B$16:$K$16</c:f>
              <c:numCache>
                <c:formatCode>General</c:formatCode>
                <c:ptCount val="10"/>
                <c:pt idx="0">
                  <c:v>1127.3329999999999</c:v>
                </c:pt>
                <c:pt idx="1">
                  <c:v>1134.6669999999999</c:v>
                </c:pt>
                <c:pt idx="2">
                  <c:v>1136</c:v>
                </c:pt>
                <c:pt idx="3">
                  <c:v>1070.6669999999999</c:v>
                </c:pt>
                <c:pt idx="4">
                  <c:v>1009</c:v>
                </c:pt>
                <c:pt idx="5">
                  <c:v>851.66669999999749</c:v>
                </c:pt>
                <c:pt idx="6">
                  <c:v>718.66669999999749</c:v>
                </c:pt>
                <c:pt idx="7">
                  <c:v>625</c:v>
                </c:pt>
                <c:pt idx="8">
                  <c:v>551.66669999999749</c:v>
                </c:pt>
                <c:pt idx="9">
                  <c:v>496.33329999999899</c:v>
                </c:pt>
              </c:numCache>
            </c:numRef>
          </c:val>
          <c:smooth val="0"/>
        </c:ser>
        <c:ser>
          <c:idx val="1"/>
          <c:order val="1"/>
          <c:tx>
            <c:v>Полное разрешение коронковой части (модели 4,5,6)</c:v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Лист3!$B$17:$K$17</c:f>
              <c:numCache>
                <c:formatCode>General</c:formatCode>
                <c:ptCount val="10"/>
                <c:pt idx="0">
                  <c:v>1139.3329999999999</c:v>
                </c:pt>
                <c:pt idx="1">
                  <c:v>1149.3329999999999</c:v>
                </c:pt>
                <c:pt idx="2">
                  <c:v>1136.6669999999999</c:v>
                </c:pt>
                <c:pt idx="3">
                  <c:v>987.66669999999749</c:v>
                </c:pt>
                <c:pt idx="4">
                  <c:v>836.66669999999749</c:v>
                </c:pt>
                <c:pt idx="5">
                  <c:v>690</c:v>
                </c:pt>
                <c:pt idx="6">
                  <c:v>585.33330000000001</c:v>
                </c:pt>
                <c:pt idx="7">
                  <c:v>508.66669999999999</c:v>
                </c:pt>
                <c:pt idx="8">
                  <c:v>452.33329999999899</c:v>
                </c:pt>
                <c:pt idx="9">
                  <c:v>409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592512"/>
        <c:axId val="108737664"/>
      </c:lineChart>
      <c:catAx>
        <c:axId val="10859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8737664"/>
        <c:crosses val="autoZero"/>
        <c:auto val="1"/>
        <c:lblAlgn val="ctr"/>
        <c:lblOffset val="100"/>
        <c:noMultiLvlLbl val="0"/>
      </c:catAx>
      <c:valAx>
        <c:axId val="108737664"/>
        <c:scaling>
          <c:orientation val="minMax"/>
          <c:max val="1200"/>
          <c:min val="3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Среднеяя предельная прочность (Н)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8592512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"/>
          <c:y val="0.86734281671581392"/>
          <c:w val="1"/>
          <c:h val="0.116388529791984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Диаграмма 5 - Средняя предельная прочность моделей с уступом 135</a:t>
            </a:r>
            <a:r>
              <a:rPr lang="en-US" sz="1200" b="0">
                <a:latin typeface="Times New Roman"/>
                <a:cs typeface="Times New Roman"/>
              </a:rPr>
              <a:t>º</a:t>
            </a:r>
            <a:r>
              <a:rPr lang="ru-RU" sz="1200" b="0"/>
              <a:t>, 90</a:t>
            </a:r>
            <a:r>
              <a:rPr lang="en-US" sz="1200" b="0">
                <a:latin typeface="Times New Roman"/>
                <a:cs typeface="Times New Roman"/>
              </a:rPr>
              <a:t>º</a:t>
            </a:r>
            <a:r>
              <a:rPr lang="ru-RU" sz="1200" b="0"/>
              <a:t> и без уступа в зависимости от угла наклона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686999476163074"/>
          <c:y val="0.14304115538857134"/>
          <c:w val="0.57307843812878689"/>
          <c:h val="0.68553426396921557"/>
        </c:manualLayout>
      </c:layout>
      <c:lineChart>
        <c:grouping val="standard"/>
        <c:varyColors val="0"/>
        <c:ser>
          <c:idx val="0"/>
          <c:order val="0"/>
          <c:tx>
            <c:v>Уступ 135 (Модели 1 и 4)</c:v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Лист4!$B$5:$K$5</c:f>
              <c:numCache>
                <c:formatCode>General</c:formatCode>
                <c:ptCount val="10"/>
                <c:pt idx="0">
                  <c:v>1144</c:v>
                </c:pt>
                <c:pt idx="1">
                  <c:v>1149.5</c:v>
                </c:pt>
                <c:pt idx="2">
                  <c:v>1163</c:v>
                </c:pt>
                <c:pt idx="3">
                  <c:v>1195.5</c:v>
                </c:pt>
                <c:pt idx="4">
                  <c:v>1118</c:v>
                </c:pt>
                <c:pt idx="5">
                  <c:v>929</c:v>
                </c:pt>
                <c:pt idx="6">
                  <c:v>780.5</c:v>
                </c:pt>
                <c:pt idx="7">
                  <c:v>677</c:v>
                </c:pt>
                <c:pt idx="8">
                  <c:v>598.5</c:v>
                </c:pt>
                <c:pt idx="9">
                  <c:v>538</c:v>
                </c:pt>
              </c:numCache>
            </c:numRef>
          </c:val>
          <c:smooth val="0"/>
        </c:ser>
        <c:ser>
          <c:idx val="1"/>
          <c:order val="1"/>
          <c:tx>
            <c:v>Уступ 90 (модели 2 и 5)</c:v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Лист4!$B$10:$K$10</c:f>
              <c:numCache>
                <c:formatCode>General</c:formatCode>
                <c:ptCount val="10"/>
                <c:pt idx="0">
                  <c:v>1126</c:v>
                </c:pt>
                <c:pt idx="1">
                  <c:v>1136.5</c:v>
                </c:pt>
                <c:pt idx="2">
                  <c:v>1116</c:v>
                </c:pt>
                <c:pt idx="3">
                  <c:v>863</c:v>
                </c:pt>
                <c:pt idx="4">
                  <c:v>687</c:v>
                </c:pt>
                <c:pt idx="5">
                  <c:v>565.5</c:v>
                </c:pt>
                <c:pt idx="6">
                  <c:v>480.5</c:v>
                </c:pt>
                <c:pt idx="7">
                  <c:v>418</c:v>
                </c:pt>
                <c:pt idx="8">
                  <c:v>372.5</c:v>
                </c:pt>
                <c:pt idx="9">
                  <c:v>336.5</c:v>
                </c:pt>
              </c:numCache>
            </c:numRef>
          </c:val>
          <c:smooth val="0"/>
        </c:ser>
        <c:ser>
          <c:idx val="2"/>
          <c:order val="2"/>
          <c:tx>
            <c:v>Без уступа (модели 3 и 6)</c:v>
          </c:tx>
          <c:cat>
            <c:numLit>
              <c:formatCode>General</c:formatCode>
              <c:ptCount val="10"/>
              <c:pt idx="0">
                <c:v>0</c:v>
              </c:pt>
              <c:pt idx="1">
                <c:v>5</c:v>
              </c:pt>
              <c:pt idx="2">
                <c:v>10</c:v>
              </c:pt>
              <c:pt idx="3">
                <c:v>15</c:v>
              </c:pt>
              <c:pt idx="4">
                <c:v>20</c:v>
              </c:pt>
              <c:pt idx="5">
                <c:v>25</c:v>
              </c:pt>
              <c:pt idx="6">
                <c:v>30</c:v>
              </c:pt>
              <c:pt idx="7">
                <c:v>35</c:v>
              </c:pt>
              <c:pt idx="8">
                <c:v>40</c:v>
              </c:pt>
              <c:pt idx="9">
                <c:v>45</c:v>
              </c:pt>
            </c:numLit>
          </c:cat>
          <c:val>
            <c:numRef>
              <c:f>Лист4!$B$15:$K$15</c:f>
              <c:numCache>
                <c:formatCode>General</c:formatCode>
                <c:ptCount val="10"/>
                <c:pt idx="0">
                  <c:v>1130</c:v>
                </c:pt>
                <c:pt idx="1">
                  <c:v>1140</c:v>
                </c:pt>
                <c:pt idx="2">
                  <c:v>1130</c:v>
                </c:pt>
                <c:pt idx="3">
                  <c:v>1029</c:v>
                </c:pt>
                <c:pt idx="4">
                  <c:v>963.5</c:v>
                </c:pt>
                <c:pt idx="5">
                  <c:v>818</c:v>
                </c:pt>
                <c:pt idx="6">
                  <c:v>695</c:v>
                </c:pt>
                <c:pt idx="7">
                  <c:v>605.5</c:v>
                </c:pt>
                <c:pt idx="8">
                  <c:v>535</c:v>
                </c:pt>
                <c:pt idx="9">
                  <c:v>483.5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08768256"/>
        <c:axId val="108774528"/>
      </c:lineChart>
      <c:catAx>
        <c:axId val="108768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Угол наклона (градусы)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8774528"/>
        <c:crosses val="autoZero"/>
        <c:auto val="1"/>
        <c:lblAlgn val="ctr"/>
        <c:lblOffset val="100"/>
        <c:tickMarkSkip val="5"/>
        <c:noMultiLvlLbl val="0"/>
      </c:catAx>
      <c:valAx>
        <c:axId val="108774528"/>
        <c:scaling>
          <c:orientation val="minMax"/>
          <c:max val="1300"/>
          <c:min val="3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Средняя предельная прочность (Н)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8768256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71063915227776464"/>
          <c:y val="0.33442290525867308"/>
          <c:w val="0.27994061520267988"/>
          <c:h val="0.3035820776210094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9950-3840-40D0-B78C-891B7682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7002</Words>
  <Characters>39916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Dr.lynx</dc:creator>
  <cp:lastModifiedBy>Владимир В. Мурга</cp:lastModifiedBy>
  <cp:revision>2</cp:revision>
  <cp:lastPrinted>2015-04-09T05:07:00Z</cp:lastPrinted>
  <dcterms:created xsi:type="dcterms:W3CDTF">2015-04-13T12:08:00Z</dcterms:created>
  <dcterms:modified xsi:type="dcterms:W3CDTF">2015-04-13T12:08:00Z</dcterms:modified>
</cp:coreProperties>
</file>