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F9" w:rsidRPr="00694BFE" w:rsidRDefault="00A774F9" w:rsidP="00A774F9">
      <w:pPr>
        <w:tabs>
          <w:tab w:val="left" w:pos="2282"/>
        </w:tabs>
        <w:rPr>
          <w:rFonts w:ascii="Times New Roman" w:hAnsi="Times New Roman"/>
          <w:b/>
          <w:sz w:val="24"/>
          <w:szCs w:val="24"/>
        </w:rPr>
      </w:pPr>
      <w:r w:rsidRPr="00694BFE">
        <w:rPr>
          <w:rFonts w:ascii="Times New Roman" w:hAnsi="Times New Roman"/>
          <w:b/>
          <w:sz w:val="24"/>
          <w:szCs w:val="24"/>
        </w:rPr>
        <w:t>Название статьи:</w:t>
      </w:r>
    </w:p>
    <w:p w:rsidR="00A774F9" w:rsidRPr="00A21E82" w:rsidRDefault="00A774F9" w:rsidP="00A774F9">
      <w:pPr>
        <w:spacing w:line="240" w:lineRule="auto"/>
        <w:jc w:val="both"/>
        <w:rPr>
          <w:rFonts w:ascii="Times New Roman" w:hAnsi="Times New Roman"/>
          <w:sz w:val="24"/>
          <w:szCs w:val="24"/>
        </w:rPr>
      </w:pPr>
      <w:r w:rsidRPr="00A21E82">
        <w:rPr>
          <w:rFonts w:ascii="Times New Roman" w:hAnsi="Times New Roman"/>
          <w:sz w:val="24"/>
          <w:szCs w:val="24"/>
        </w:rPr>
        <w:t>Масса тела и абдоминальное ожирение как независимые факторы риска повышенного артериального давления</w:t>
      </w:r>
    </w:p>
    <w:p w:rsidR="00A774F9" w:rsidRPr="00A21E82" w:rsidRDefault="00A774F9" w:rsidP="00A774F9">
      <w:pPr>
        <w:spacing w:line="240" w:lineRule="auto"/>
        <w:jc w:val="both"/>
        <w:rPr>
          <w:rFonts w:ascii="Times New Roman" w:hAnsi="Times New Roman"/>
          <w:sz w:val="24"/>
          <w:szCs w:val="24"/>
          <w:lang w:val="en-US"/>
        </w:rPr>
      </w:pPr>
      <w:r w:rsidRPr="00A21E82">
        <w:rPr>
          <w:rFonts w:ascii="Times New Roman" w:hAnsi="Times New Roman"/>
          <w:sz w:val="24"/>
          <w:szCs w:val="24"/>
          <w:lang w:val="en-US"/>
        </w:rPr>
        <w:t>Body weight and abdominal obesity as independent risk factors of arterial hypertension</w:t>
      </w:r>
    </w:p>
    <w:p w:rsidR="00A774F9" w:rsidRDefault="00A774F9" w:rsidP="00A774F9">
      <w:pPr>
        <w:tabs>
          <w:tab w:val="left" w:pos="1399"/>
        </w:tabs>
        <w:spacing w:line="240" w:lineRule="auto"/>
        <w:jc w:val="both"/>
        <w:rPr>
          <w:rFonts w:ascii="Times New Roman" w:hAnsi="Times New Roman"/>
          <w:b/>
          <w:sz w:val="24"/>
          <w:szCs w:val="24"/>
        </w:rPr>
      </w:pPr>
      <w:r w:rsidRPr="00694BFE">
        <w:rPr>
          <w:rFonts w:ascii="Times New Roman" w:hAnsi="Times New Roman"/>
          <w:b/>
          <w:sz w:val="24"/>
          <w:szCs w:val="24"/>
        </w:rPr>
        <w:t>Авторы:</w:t>
      </w:r>
      <w:r w:rsidRPr="00694BFE">
        <w:rPr>
          <w:rFonts w:ascii="Times New Roman" w:hAnsi="Times New Roman"/>
          <w:b/>
          <w:sz w:val="24"/>
          <w:szCs w:val="24"/>
        </w:rPr>
        <w:tab/>
      </w:r>
    </w:p>
    <w:p w:rsidR="00A774F9" w:rsidRPr="00A21E82" w:rsidRDefault="00A774F9" w:rsidP="00A774F9">
      <w:pPr>
        <w:spacing w:line="240" w:lineRule="auto"/>
        <w:jc w:val="both"/>
        <w:rPr>
          <w:rFonts w:ascii="Times New Roman" w:hAnsi="Times New Roman"/>
          <w:sz w:val="24"/>
          <w:szCs w:val="24"/>
        </w:rPr>
      </w:pPr>
      <w:r w:rsidRPr="00A21E82">
        <w:rPr>
          <w:rFonts w:ascii="Times New Roman" w:hAnsi="Times New Roman"/>
          <w:sz w:val="24"/>
          <w:szCs w:val="24"/>
        </w:rPr>
        <w:t xml:space="preserve">Д.Ю. Платонов, И.С. </w:t>
      </w:r>
      <w:proofErr w:type="spellStart"/>
      <w:r w:rsidRPr="00A21E82">
        <w:rPr>
          <w:rFonts w:ascii="Times New Roman" w:hAnsi="Times New Roman"/>
          <w:sz w:val="24"/>
          <w:szCs w:val="24"/>
        </w:rPr>
        <w:t>Петрухин</w:t>
      </w:r>
      <w:proofErr w:type="spellEnd"/>
      <w:r w:rsidRPr="00A21E82">
        <w:rPr>
          <w:rFonts w:ascii="Times New Roman" w:hAnsi="Times New Roman"/>
          <w:sz w:val="24"/>
          <w:szCs w:val="24"/>
        </w:rPr>
        <w:t>, В.С. Волков, Е.Ю. Лунина, А.И. Брандт</w:t>
      </w:r>
    </w:p>
    <w:p w:rsidR="00A774F9" w:rsidRPr="00A21E82" w:rsidRDefault="00A774F9" w:rsidP="00A774F9">
      <w:pPr>
        <w:spacing w:line="240" w:lineRule="auto"/>
        <w:jc w:val="both"/>
        <w:rPr>
          <w:rFonts w:ascii="Times New Roman" w:hAnsi="Times New Roman"/>
          <w:sz w:val="24"/>
          <w:szCs w:val="24"/>
          <w:lang w:val="en-US"/>
        </w:rPr>
      </w:pPr>
      <w:proofErr w:type="spellStart"/>
      <w:r w:rsidRPr="00A21E82">
        <w:rPr>
          <w:rFonts w:ascii="Times New Roman" w:hAnsi="Times New Roman"/>
          <w:sz w:val="24"/>
          <w:szCs w:val="24"/>
          <w:lang w:val="en-US"/>
        </w:rPr>
        <w:t>D.Yu</w:t>
      </w:r>
      <w:proofErr w:type="spellEnd"/>
      <w:r w:rsidRPr="00A21E82">
        <w:rPr>
          <w:rFonts w:ascii="Times New Roman" w:hAnsi="Times New Roman"/>
          <w:sz w:val="24"/>
          <w:szCs w:val="24"/>
          <w:lang w:val="en-US"/>
        </w:rPr>
        <w:t xml:space="preserve">. </w:t>
      </w:r>
      <w:proofErr w:type="spellStart"/>
      <w:r w:rsidRPr="00A21E82">
        <w:rPr>
          <w:rFonts w:ascii="Times New Roman" w:hAnsi="Times New Roman"/>
          <w:sz w:val="24"/>
          <w:szCs w:val="24"/>
          <w:lang w:val="en-US"/>
        </w:rPr>
        <w:t>Platonov</w:t>
      </w:r>
      <w:proofErr w:type="spellEnd"/>
      <w:r w:rsidRPr="00A21E82">
        <w:rPr>
          <w:rFonts w:ascii="Times New Roman" w:hAnsi="Times New Roman"/>
          <w:sz w:val="24"/>
          <w:szCs w:val="24"/>
          <w:lang w:val="en-US"/>
        </w:rPr>
        <w:t xml:space="preserve">, I.S. </w:t>
      </w:r>
      <w:proofErr w:type="spellStart"/>
      <w:r w:rsidRPr="00A21E82">
        <w:rPr>
          <w:rFonts w:ascii="Times New Roman" w:hAnsi="Times New Roman"/>
          <w:sz w:val="24"/>
          <w:szCs w:val="24"/>
          <w:lang w:val="en-US"/>
        </w:rPr>
        <w:t>Petrukhin</w:t>
      </w:r>
      <w:proofErr w:type="spellEnd"/>
      <w:r w:rsidRPr="00A21E82">
        <w:rPr>
          <w:rFonts w:ascii="Times New Roman" w:hAnsi="Times New Roman"/>
          <w:sz w:val="24"/>
          <w:szCs w:val="24"/>
          <w:lang w:val="en-US"/>
        </w:rPr>
        <w:t xml:space="preserve">, V.S. </w:t>
      </w:r>
      <w:proofErr w:type="spellStart"/>
      <w:r w:rsidRPr="00A21E82">
        <w:rPr>
          <w:rFonts w:ascii="Times New Roman" w:hAnsi="Times New Roman"/>
          <w:sz w:val="24"/>
          <w:szCs w:val="24"/>
          <w:lang w:val="en-US"/>
        </w:rPr>
        <w:t>Volkov</w:t>
      </w:r>
      <w:proofErr w:type="spellEnd"/>
      <w:r w:rsidRPr="00A21E82">
        <w:rPr>
          <w:rFonts w:ascii="Times New Roman" w:hAnsi="Times New Roman"/>
          <w:sz w:val="24"/>
          <w:szCs w:val="24"/>
          <w:lang w:val="en-US"/>
        </w:rPr>
        <w:t xml:space="preserve">, </w:t>
      </w:r>
      <w:proofErr w:type="spellStart"/>
      <w:r w:rsidRPr="00A21E82">
        <w:rPr>
          <w:rFonts w:ascii="Times New Roman" w:hAnsi="Times New Roman"/>
          <w:sz w:val="24"/>
          <w:szCs w:val="24"/>
          <w:lang w:val="en-US"/>
        </w:rPr>
        <w:t>Ye.Yu</w:t>
      </w:r>
      <w:proofErr w:type="spellEnd"/>
      <w:r w:rsidRPr="00A21E82">
        <w:rPr>
          <w:rFonts w:ascii="Times New Roman" w:hAnsi="Times New Roman"/>
          <w:sz w:val="24"/>
          <w:szCs w:val="24"/>
          <w:lang w:val="en-US"/>
        </w:rPr>
        <w:t xml:space="preserve">. </w:t>
      </w:r>
      <w:proofErr w:type="spellStart"/>
      <w:r w:rsidRPr="00A21E82">
        <w:rPr>
          <w:rFonts w:ascii="Times New Roman" w:hAnsi="Times New Roman"/>
          <w:sz w:val="24"/>
          <w:szCs w:val="24"/>
          <w:lang w:val="en-US"/>
        </w:rPr>
        <w:t>Lunina</w:t>
      </w:r>
      <w:proofErr w:type="spellEnd"/>
      <w:r w:rsidRPr="00A21E82">
        <w:rPr>
          <w:rFonts w:ascii="Times New Roman" w:hAnsi="Times New Roman"/>
          <w:sz w:val="24"/>
          <w:szCs w:val="24"/>
          <w:lang w:val="en-US"/>
        </w:rPr>
        <w:t>, A.I. Brandt</w:t>
      </w:r>
    </w:p>
    <w:p w:rsidR="00A774F9" w:rsidRPr="00A774F9" w:rsidRDefault="00A774F9" w:rsidP="00A774F9">
      <w:pPr>
        <w:tabs>
          <w:tab w:val="left" w:pos="1399"/>
        </w:tabs>
        <w:spacing w:line="240" w:lineRule="auto"/>
        <w:jc w:val="both"/>
        <w:rPr>
          <w:rFonts w:ascii="Times New Roman" w:hAnsi="Times New Roman"/>
          <w:b/>
          <w:sz w:val="24"/>
          <w:szCs w:val="24"/>
          <w:lang w:val="en-US"/>
        </w:rPr>
      </w:pPr>
    </w:p>
    <w:p w:rsidR="00A774F9" w:rsidRDefault="00A774F9" w:rsidP="00A774F9">
      <w:pPr>
        <w:pStyle w:val="HTML"/>
        <w:jc w:val="both"/>
        <w:rPr>
          <w:rFonts w:ascii="Times New Roman" w:hAnsi="Times New Roman" w:cs="Times New Roman"/>
          <w:b/>
          <w:sz w:val="24"/>
          <w:szCs w:val="24"/>
        </w:rPr>
      </w:pPr>
      <w:r w:rsidRPr="00694BFE">
        <w:rPr>
          <w:rFonts w:ascii="Times New Roman" w:hAnsi="Times New Roman" w:cs="Times New Roman"/>
          <w:b/>
          <w:sz w:val="24"/>
          <w:szCs w:val="24"/>
        </w:rPr>
        <w:t>Место работы:</w:t>
      </w:r>
    </w:p>
    <w:p w:rsidR="00A774F9" w:rsidRPr="00A21E82" w:rsidRDefault="00A774F9" w:rsidP="00A774F9">
      <w:pPr>
        <w:spacing w:line="240" w:lineRule="auto"/>
        <w:jc w:val="both"/>
        <w:rPr>
          <w:rFonts w:ascii="Times New Roman" w:hAnsi="Times New Roman"/>
          <w:sz w:val="24"/>
          <w:szCs w:val="24"/>
        </w:rPr>
      </w:pPr>
      <w:r w:rsidRPr="00A21E82">
        <w:rPr>
          <w:rFonts w:ascii="Times New Roman" w:hAnsi="Times New Roman"/>
          <w:sz w:val="24"/>
          <w:szCs w:val="24"/>
        </w:rPr>
        <w:t>Тверская государственная медицинская академия</w:t>
      </w:r>
    </w:p>
    <w:p w:rsidR="00A774F9" w:rsidRPr="00A774F9" w:rsidRDefault="00A774F9" w:rsidP="00A774F9">
      <w:pPr>
        <w:spacing w:line="240" w:lineRule="auto"/>
        <w:jc w:val="both"/>
        <w:rPr>
          <w:rFonts w:ascii="Times New Roman" w:hAnsi="Times New Roman"/>
          <w:sz w:val="24"/>
          <w:szCs w:val="24"/>
        </w:rPr>
      </w:pPr>
      <w:proofErr w:type="spellStart"/>
      <w:r w:rsidRPr="00A21E82">
        <w:rPr>
          <w:rFonts w:ascii="Times New Roman" w:hAnsi="Times New Roman"/>
          <w:sz w:val="24"/>
          <w:szCs w:val="24"/>
          <w:lang w:val="en-US"/>
        </w:rPr>
        <w:t>Tver</w:t>
      </w:r>
      <w:proofErr w:type="spellEnd"/>
      <w:r w:rsidRPr="00A21E82">
        <w:rPr>
          <w:rFonts w:ascii="Times New Roman" w:hAnsi="Times New Roman"/>
          <w:sz w:val="24"/>
          <w:szCs w:val="24"/>
        </w:rPr>
        <w:t xml:space="preserve"> </w:t>
      </w:r>
      <w:r w:rsidRPr="00A21E82">
        <w:rPr>
          <w:rFonts w:ascii="Times New Roman" w:hAnsi="Times New Roman"/>
          <w:sz w:val="24"/>
          <w:szCs w:val="24"/>
          <w:lang w:val="en-US"/>
        </w:rPr>
        <w:t>State</w:t>
      </w:r>
      <w:r w:rsidRPr="00A21E82">
        <w:rPr>
          <w:rFonts w:ascii="Times New Roman" w:hAnsi="Times New Roman"/>
          <w:sz w:val="24"/>
          <w:szCs w:val="24"/>
        </w:rPr>
        <w:t xml:space="preserve"> </w:t>
      </w:r>
      <w:r w:rsidRPr="00A21E82">
        <w:rPr>
          <w:rFonts w:ascii="Times New Roman" w:hAnsi="Times New Roman"/>
          <w:sz w:val="24"/>
          <w:szCs w:val="24"/>
          <w:lang w:val="en-US"/>
        </w:rPr>
        <w:t>Medical</w:t>
      </w:r>
      <w:r w:rsidRPr="00A21E82">
        <w:rPr>
          <w:rFonts w:ascii="Times New Roman" w:hAnsi="Times New Roman"/>
          <w:sz w:val="24"/>
          <w:szCs w:val="24"/>
        </w:rPr>
        <w:t xml:space="preserve"> </w:t>
      </w:r>
      <w:r w:rsidRPr="00A21E82">
        <w:rPr>
          <w:rFonts w:ascii="Times New Roman" w:hAnsi="Times New Roman"/>
          <w:sz w:val="24"/>
          <w:szCs w:val="24"/>
          <w:lang w:val="en-US"/>
        </w:rPr>
        <w:t>Academy</w:t>
      </w:r>
    </w:p>
    <w:p w:rsidR="00A774F9" w:rsidRPr="00A21E82" w:rsidRDefault="00A774F9" w:rsidP="00A774F9">
      <w:pPr>
        <w:spacing w:line="240" w:lineRule="auto"/>
        <w:jc w:val="both"/>
        <w:rPr>
          <w:rFonts w:ascii="Times New Roman" w:hAnsi="Times New Roman"/>
          <w:sz w:val="24"/>
          <w:szCs w:val="24"/>
        </w:rPr>
      </w:pPr>
      <w:r w:rsidRPr="00A21E82">
        <w:rPr>
          <w:rFonts w:ascii="Times New Roman" w:hAnsi="Times New Roman"/>
          <w:sz w:val="24"/>
          <w:szCs w:val="24"/>
        </w:rPr>
        <w:t>Областная клиническая больница, Тверь</w:t>
      </w:r>
    </w:p>
    <w:p w:rsidR="00A774F9" w:rsidRPr="00A21E82" w:rsidRDefault="00A774F9" w:rsidP="00A774F9">
      <w:pPr>
        <w:spacing w:line="240" w:lineRule="auto"/>
        <w:jc w:val="both"/>
        <w:rPr>
          <w:rFonts w:ascii="Times New Roman" w:hAnsi="Times New Roman"/>
          <w:sz w:val="24"/>
          <w:szCs w:val="24"/>
        </w:rPr>
      </w:pPr>
      <w:proofErr w:type="spellStart"/>
      <w:r w:rsidRPr="00A21E82">
        <w:rPr>
          <w:rFonts w:ascii="Times New Roman" w:hAnsi="Times New Roman"/>
          <w:sz w:val="24"/>
          <w:szCs w:val="24"/>
          <w:lang w:val="en-US"/>
        </w:rPr>
        <w:t>Tver</w:t>
      </w:r>
      <w:proofErr w:type="spellEnd"/>
      <w:r w:rsidRPr="00A21E82">
        <w:rPr>
          <w:rFonts w:ascii="Times New Roman" w:hAnsi="Times New Roman"/>
          <w:sz w:val="24"/>
          <w:szCs w:val="24"/>
        </w:rPr>
        <w:t xml:space="preserve"> </w:t>
      </w:r>
      <w:r w:rsidRPr="00A21E82">
        <w:rPr>
          <w:rFonts w:ascii="Times New Roman" w:hAnsi="Times New Roman"/>
          <w:sz w:val="24"/>
          <w:szCs w:val="24"/>
          <w:lang w:val="en-US"/>
        </w:rPr>
        <w:t>Oblast</w:t>
      </w:r>
      <w:r w:rsidRPr="00A21E82">
        <w:rPr>
          <w:rFonts w:ascii="Times New Roman" w:hAnsi="Times New Roman"/>
          <w:sz w:val="24"/>
          <w:szCs w:val="24"/>
        </w:rPr>
        <w:t xml:space="preserve"> </w:t>
      </w:r>
      <w:r w:rsidRPr="00A21E82">
        <w:rPr>
          <w:rFonts w:ascii="Times New Roman" w:hAnsi="Times New Roman"/>
          <w:sz w:val="24"/>
          <w:szCs w:val="24"/>
          <w:lang w:val="en-US"/>
        </w:rPr>
        <w:t>Hospital</w:t>
      </w:r>
    </w:p>
    <w:p w:rsidR="00A774F9" w:rsidRPr="00694BFE" w:rsidRDefault="00A774F9" w:rsidP="00A774F9">
      <w:pPr>
        <w:pStyle w:val="HTML"/>
        <w:jc w:val="both"/>
        <w:rPr>
          <w:rFonts w:ascii="Times New Roman" w:hAnsi="Times New Roman" w:cs="Times New Roman"/>
          <w:b/>
          <w:sz w:val="24"/>
          <w:szCs w:val="24"/>
        </w:rPr>
      </w:pPr>
    </w:p>
    <w:p w:rsidR="00A774F9" w:rsidRDefault="00A774F9" w:rsidP="00A774F9">
      <w:pPr>
        <w:spacing w:line="240" w:lineRule="auto"/>
        <w:jc w:val="both"/>
        <w:rPr>
          <w:rFonts w:ascii="Times New Roman" w:hAnsi="Times New Roman"/>
          <w:b/>
          <w:sz w:val="24"/>
          <w:szCs w:val="24"/>
        </w:rPr>
      </w:pPr>
      <w:r w:rsidRPr="00694BFE">
        <w:rPr>
          <w:rFonts w:ascii="Times New Roman" w:hAnsi="Times New Roman"/>
          <w:b/>
          <w:sz w:val="24"/>
          <w:szCs w:val="24"/>
        </w:rPr>
        <w:t>Место публикации статьи</w:t>
      </w:r>
    </w:p>
    <w:p w:rsidR="00A774F9" w:rsidRPr="00A21E82" w:rsidRDefault="00A774F9" w:rsidP="00A774F9">
      <w:pPr>
        <w:spacing w:line="240" w:lineRule="auto"/>
        <w:jc w:val="both"/>
        <w:rPr>
          <w:rFonts w:ascii="Times New Roman" w:hAnsi="Times New Roman"/>
          <w:sz w:val="24"/>
          <w:szCs w:val="24"/>
        </w:rPr>
      </w:pPr>
      <w:r w:rsidRPr="00A21E82">
        <w:rPr>
          <w:rFonts w:ascii="Times New Roman" w:hAnsi="Times New Roman"/>
          <w:sz w:val="24"/>
          <w:szCs w:val="24"/>
        </w:rPr>
        <w:t>Профилактика заболеваний и укрепление здоровья 2007;2:12-18.</w:t>
      </w:r>
    </w:p>
    <w:p w:rsidR="00A774F9" w:rsidRPr="00694BFE" w:rsidRDefault="00A774F9" w:rsidP="00A774F9">
      <w:pPr>
        <w:spacing w:line="240" w:lineRule="auto"/>
        <w:jc w:val="both"/>
        <w:rPr>
          <w:rFonts w:ascii="Times New Roman" w:hAnsi="Times New Roman"/>
          <w:b/>
          <w:sz w:val="24"/>
          <w:szCs w:val="24"/>
        </w:rPr>
      </w:pPr>
    </w:p>
    <w:p w:rsidR="00A774F9" w:rsidRDefault="00A774F9" w:rsidP="00A774F9">
      <w:pPr>
        <w:spacing w:line="240" w:lineRule="auto"/>
        <w:jc w:val="both"/>
        <w:rPr>
          <w:rFonts w:ascii="Times New Roman" w:hAnsi="Times New Roman"/>
          <w:sz w:val="24"/>
          <w:szCs w:val="24"/>
        </w:rPr>
      </w:pPr>
      <w:r w:rsidRPr="00694BFE">
        <w:rPr>
          <w:rFonts w:ascii="Times New Roman" w:hAnsi="Times New Roman"/>
          <w:b/>
          <w:sz w:val="24"/>
          <w:szCs w:val="24"/>
        </w:rPr>
        <w:t>Ключевые слова</w:t>
      </w:r>
      <w:r w:rsidRPr="00694BFE">
        <w:rPr>
          <w:rFonts w:ascii="Times New Roman" w:hAnsi="Times New Roman"/>
          <w:sz w:val="24"/>
          <w:szCs w:val="24"/>
        </w:rPr>
        <w:t xml:space="preserve">: </w:t>
      </w:r>
    </w:p>
    <w:p w:rsidR="00A774F9" w:rsidRPr="00A21E82" w:rsidRDefault="00A774F9" w:rsidP="00A774F9">
      <w:pPr>
        <w:spacing w:line="240" w:lineRule="auto"/>
        <w:jc w:val="both"/>
        <w:rPr>
          <w:rFonts w:ascii="Times New Roman" w:hAnsi="Times New Roman"/>
          <w:sz w:val="24"/>
          <w:szCs w:val="24"/>
        </w:rPr>
      </w:pPr>
      <w:r w:rsidRPr="00A21E82">
        <w:rPr>
          <w:rFonts w:ascii="Times New Roman" w:hAnsi="Times New Roman"/>
          <w:sz w:val="24"/>
          <w:szCs w:val="24"/>
        </w:rPr>
        <w:t>Эпидемиологическое исследование, общее и абдоминальное жироотложение, факторы риска, повышенное артериальное давление</w:t>
      </w:r>
    </w:p>
    <w:p w:rsidR="00A774F9" w:rsidRPr="00694BFE" w:rsidRDefault="00A774F9" w:rsidP="00A774F9">
      <w:pPr>
        <w:spacing w:line="240" w:lineRule="auto"/>
        <w:jc w:val="both"/>
        <w:rPr>
          <w:rFonts w:ascii="Times New Roman" w:hAnsi="Times New Roman"/>
          <w:sz w:val="24"/>
          <w:szCs w:val="24"/>
        </w:rPr>
      </w:pPr>
    </w:p>
    <w:p w:rsidR="00A774F9" w:rsidRPr="00336CE2" w:rsidRDefault="00A774F9" w:rsidP="00A774F9">
      <w:pPr>
        <w:spacing w:line="240" w:lineRule="auto"/>
        <w:jc w:val="both"/>
        <w:rPr>
          <w:rFonts w:ascii="Times New Roman" w:hAnsi="Times New Roman"/>
          <w:b/>
          <w:sz w:val="24"/>
          <w:szCs w:val="24"/>
          <w:lang w:val="en-US"/>
        </w:rPr>
      </w:pPr>
      <w:r w:rsidRPr="00694BFE">
        <w:rPr>
          <w:rFonts w:ascii="Times New Roman" w:hAnsi="Times New Roman"/>
          <w:b/>
          <w:sz w:val="24"/>
          <w:szCs w:val="24"/>
          <w:lang w:val="en-US"/>
        </w:rPr>
        <w:t>Keywords</w:t>
      </w:r>
      <w:r w:rsidRPr="00336CE2">
        <w:rPr>
          <w:rFonts w:ascii="Times New Roman" w:hAnsi="Times New Roman"/>
          <w:b/>
          <w:sz w:val="24"/>
          <w:szCs w:val="24"/>
          <w:lang w:val="en-US"/>
        </w:rPr>
        <w:t>:</w:t>
      </w:r>
    </w:p>
    <w:p w:rsidR="00A774F9" w:rsidRPr="00A21E82" w:rsidRDefault="00A774F9" w:rsidP="00A774F9">
      <w:pPr>
        <w:spacing w:line="240" w:lineRule="auto"/>
        <w:jc w:val="both"/>
        <w:rPr>
          <w:rFonts w:ascii="Times New Roman" w:hAnsi="Times New Roman"/>
          <w:sz w:val="24"/>
          <w:szCs w:val="24"/>
          <w:lang w:val="en-US"/>
        </w:rPr>
      </w:pPr>
      <w:r w:rsidRPr="00A21E82">
        <w:rPr>
          <w:rFonts w:ascii="Times New Roman" w:hAnsi="Times New Roman"/>
          <w:sz w:val="24"/>
          <w:szCs w:val="24"/>
          <w:lang w:val="en-US"/>
        </w:rPr>
        <w:t>Epidemiological study, systemic obesity, abdominal obesity, risk factors, elevated arterial pressure</w:t>
      </w:r>
    </w:p>
    <w:p w:rsidR="00A774F9" w:rsidRPr="00336CE2" w:rsidRDefault="00A774F9" w:rsidP="00A774F9">
      <w:pPr>
        <w:spacing w:line="240" w:lineRule="auto"/>
        <w:jc w:val="both"/>
        <w:rPr>
          <w:rFonts w:ascii="Times New Roman" w:hAnsi="Times New Roman"/>
          <w:sz w:val="24"/>
          <w:szCs w:val="24"/>
          <w:lang w:val="en-US"/>
        </w:rPr>
      </w:pPr>
    </w:p>
    <w:p w:rsidR="00A774F9" w:rsidRDefault="00A774F9" w:rsidP="00A774F9">
      <w:pPr>
        <w:spacing w:line="240" w:lineRule="auto"/>
        <w:jc w:val="both"/>
        <w:rPr>
          <w:rFonts w:ascii="Times New Roman" w:hAnsi="Times New Roman"/>
          <w:b/>
          <w:sz w:val="24"/>
          <w:szCs w:val="24"/>
        </w:rPr>
      </w:pPr>
      <w:r w:rsidRPr="00694BFE">
        <w:rPr>
          <w:rFonts w:ascii="Times New Roman" w:hAnsi="Times New Roman"/>
          <w:b/>
          <w:sz w:val="24"/>
          <w:szCs w:val="24"/>
        </w:rPr>
        <w:t>Резюме.</w:t>
      </w:r>
    </w:p>
    <w:p w:rsidR="00A774F9" w:rsidRPr="00A21E82" w:rsidRDefault="00A774F9" w:rsidP="00A774F9">
      <w:pPr>
        <w:spacing w:line="240" w:lineRule="auto"/>
        <w:jc w:val="both"/>
        <w:rPr>
          <w:rFonts w:ascii="Times New Roman" w:hAnsi="Times New Roman"/>
          <w:sz w:val="24"/>
          <w:szCs w:val="24"/>
        </w:rPr>
      </w:pPr>
      <w:r w:rsidRPr="00A21E82">
        <w:rPr>
          <w:rFonts w:ascii="Times New Roman" w:hAnsi="Times New Roman"/>
          <w:sz w:val="24"/>
          <w:szCs w:val="24"/>
        </w:rPr>
        <w:t xml:space="preserve">Одномоментное эпидемиологическое исследование проведено в стратифицированной по полу и возрасту выборке, включавшей 3200 жителей Тверской области в возрасте 18 лет и старше (отклик 75%). </w:t>
      </w:r>
      <w:proofErr w:type="gramStart"/>
      <w:r w:rsidRPr="00A21E82">
        <w:rPr>
          <w:rFonts w:ascii="Times New Roman" w:hAnsi="Times New Roman"/>
          <w:sz w:val="24"/>
          <w:szCs w:val="24"/>
        </w:rPr>
        <w:t>Измеряли рост, массу тела, окружность талии (ОТ) и бедер (ОБ), артериальное давление (АД) по стандартным методикам.</w:t>
      </w:r>
      <w:proofErr w:type="gramEnd"/>
      <w:r w:rsidRPr="00A21E82">
        <w:rPr>
          <w:rFonts w:ascii="Times New Roman" w:hAnsi="Times New Roman"/>
          <w:sz w:val="24"/>
          <w:szCs w:val="24"/>
        </w:rPr>
        <w:t xml:space="preserve"> Общее жироотложение оценивали по индексу массы тела (ИМТ), абдоминальное – по </w:t>
      </w:r>
      <w:proofErr w:type="gramStart"/>
      <w:r w:rsidRPr="00A21E82">
        <w:rPr>
          <w:rFonts w:ascii="Times New Roman" w:hAnsi="Times New Roman"/>
          <w:sz w:val="24"/>
          <w:szCs w:val="24"/>
        </w:rPr>
        <w:t>ОТ</w:t>
      </w:r>
      <w:proofErr w:type="gramEnd"/>
      <w:r w:rsidRPr="00A21E82">
        <w:rPr>
          <w:rFonts w:ascii="Times New Roman" w:hAnsi="Times New Roman"/>
          <w:sz w:val="24"/>
          <w:szCs w:val="24"/>
        </w:rPr>
        <w:t xml:space="preserve"> и отношению ОТ к ОБ (ОТБ). Все переменные были стандартизованы по возрасту отдельно для каждой из четырех половозрастных групп. Для оценки связи между систолическим и </w:t>
      </w:r>
      <w:proofErr w:type="spellStart"/>
      <w:r w:rsidRPr="00A21E82">
        <w:rPr>
          <w:rFonts w:ascii="Times New Roman" w:hAnsi="Times New Roman"/>
          <w:sz w:val="24"/>
          <w:szCs w:val="24"/>
        </w:rPr>
        <w:t>диастолическим</w:t>
      </w:r>
      <w:proofErr w:type="spellEnd"/>
      <w:r w:rsidRPr="00A21E82">
        <w:rPr>
          <w:rFonts w:ascii="Times New Roman" w:hAnsi="Times New Roman"/>
          <w:sz w:val="24"/>
          <w:szCs w:val="24"/>
        </w:rPr>
        <w:t xml:space="preserve"> АД, с одной стороны, и ИМТ и ОТ (или ОТБ), с другой, проведен однофакторный и многофакторный линейный (с предварительной </w:t>
      </w:r>
      <w:proofErr w:type="spellStart"/>
      <w:r w:rsidRPr="00A21E82">
        <w:rPr>
          <w:rFonts w:ascii="Times New Roman" w:hAnsi="Times New Roman"/>
          <w:sz w:val="24"/>
          <w:szCs w:val="24"/>
        </w:rPr>
        <w:t>лог-трансформацией</w:t>
      </w:r>
      <w:proofErr w:type="spellEnd"/>
      <w:r w:rsidRPr="00A21E82">
        <w:rPr>
          <w:rFonts w:ascii="Times New Roman" w:hAnsi="Times New Roman"/>
          <w:sz w:val="24"/>
          <w:szCs w:val="24"/>
        </w:rPr>
        <w:t xml:space="preserve"> АД) и </w:t>
      </w:r>
      <w:proofErr w:type="spellStart"/>
      <w:r w:rsidRPr="00A21E82">
        <w:rPr>
          <w:rFonts w:ascii="Times New Roman" w:hAnsi="Times New Roman"/>
          <w:sz w:val="24"/>
          <w:szCs w:val="24"/>
        </w:rPr>
        <w:t>логистический</w:t>
      </w:r>
      <w:proofErr w:type="spellEnd"/>
      <w:r w:rsidRPr="00A21E82">
        <w:rPr>
          <w:rFonts w:ascii="Times New Roman" w:hAnsi="Times New Roman"/>
          <w:sz w:val="24"/>
          <w:szCs w:val="24"/>
        </w:rPr>
        <w:t xml:space="preserve"> (для верхних </w:t>
      </w:r>
      <w:proofErr w:type="spellStart"/>
      <w:r w:rsidRPr="00A21E82">
        <w:rPr>
          <w:rFonts w:ascii="Times New Roman" w:hAnsi="Times New Roman"/>
          <w:sz w:val="24"/>
          <w:szCs w:val="24"/>
        </w:rPr>
        <w:t>квинтилей</w:t>
      </w:r>
      <w:proofErr w:type="spellEnd"/>
      <w:r w:rsidRPr="00A21E82">
        <w:rPr>
          <w:rFonts w:ascii="Times New Roman" w:hAnsi="Times New Roman"/>
          <w:sz w:val="24"/>
          <w:szCs w:val="24"/>
        </w:rPr>
        <w:t xml:space="preserve"> переменных) регрессионный анализ без учета и с учетом взаимодействия ИМТ и </w:t>
      </w:r>
      <w:proofErr w:type="gramStart"/>
      <w:r w:rsidRPr="00A21E82">
        <w:rPr>
          <w:rFonts w:ascii="Times New Roman" w:hAnsi="Times New Roman"/>
          <w:sz w:val="24"/>
          <w:szCs w:val="24"/>
        </w:rPr>
        <w:t>ОТ</w:t>
      </w:r>
      <w:proofErr w:type="gramEnd"/>
      <w:r w:rsidRPr="00A21E82">
        <w:rPr>
          <w:rFonts w:ascii="Times New Roman" w:hAnsi="Times New Roman"/>
          <w:sz w:val="24"/>
          <w:szCs w:val="24"/>
        </w:rPr>
        <w:t xml:space="preserve"> (или ОТБ). Проведенный анализ подтвердил </w:t>
      </w:r>
      <w:r w:rsidRPr="00A21E82">
        <w:rPr>
          <w:rFonts w:ascii="Times New Roman" w:hAnsi="Times New Roman"/>
          <w:sz w:val="24"/>
          <w:szCs w:val="24"/>
        </w:rPr>
        <w:lastRenderedPageBreak/>
        <w:t xml:space="preserve">частично независимый характер прямой связи между уровнем АД, с одной стороны, и степенью общего и абдоминального жироотложения – с другой. При этом ассоциация АД со степенью общего жироотложения оказалась более значимой, чем со степенью абдоминального жироотложения. В группе лиц от 18 до 34 лет выявлена тенденция к положительному мультипликативному взаимодействию общего и абдоминального жироотложения в формировании риска повышенного АД, в то время как в группе лиц от 35 до 64 лет – тенденция к отрицательному взаимодействию. Показано, что при условии одновременного учета ИМТ между такими показателями абдоминального жироотложения, как ОТ и ОТБ нет существенных различий во влиянии на риск повышения АД. Тем не </w:t>
      </w:r>
      <w:proofErr w:type="gramStart"/>
      <w:r w:rsidRPr="00A21E82">
        <w:rPr>
          <w:rFonts w:ascii="Times New Roman" w:hAnsi="Times New Roman"/>
          <w:sz w:val="24"/>
          <w:szCs w:val="24"/>
        </w:rPr>
        <w:t>менее</w:t>
      </w:r>
      <w:proofErr w:type="gramEnd"/>
      <w:r w:rsidRPr="00A21E82">
        <w:rPr>
          <w:rFonts w:ascii="Times New Roman" w:hAnsi="Times New Roman"/>
          <w:sz w:val="24"/>
          <w:szCs w:val="24"/>
        </w:rPr>
        <w:t xml:space="preserve"> по ряду признаков (простота определения, более тесная связь с уровнем АД) ОТ выглядела более предпочтительным показателем.</w:t>
      </w:r>
    </w:p>
    <w:p w:rsidR="00A774F9" w:rsidRPr="00A774F9" w:rsidRDefault="00A774F9" w:rsidP="00A774F9">
      <w:pPr>
        <w:spacing w:line="240" w:lineRule="auto"/>
        <w:jc w:val="both"/>
        <w:rPr>
          <w:rFonts w:ascii="Times New Roman" w:hAnsi="Times New Roman"/>
          <w:sz w:val="24"/>
          <w:szCs w:val="24"/>
        </w:rPr>
      </w:pPr>
    </w:p>
    <w:p w:rsidR="00A774F9" w:rsidRPr="00A774F9" w:rsidRDefault="00A774F9" w:rsidP="00A774F9">
      <w:pPr>
        <w:spacing w:line="240" w:lineRule="auto"/>
        <w:jc w:val="both"/>
        <w:rPr>
          <w:rFonts w:ascii="Times New Roman" w:hAnsi="Times New Roman"/>
          <w:b/>
          <w:sz w:val="24"/>
          <w:szCs w:val="24"/>
        </w:rPr>
      </w:pPr>
    </w:p>
    <w:p w:rsidR="00A774F9" w:rsidRPr="00336CE2" w:rsidRDefault="00A774F9" w:rsidP="00A774F9">
      <w:pPr>
        <w:spacing w:line="240" w:lineRule="auto"/>
        <w:jc w:val="both"/>
        <w:rPr>
          <w:rFonts w:ascii="Times New Roman" w:hAnsi="Times New Roman"/>
          <w:b/>
          <w:sz w:val="24"/>
          <w:szCs w:val="24"/>
          <w:lang w:val="en-US"/>
        </w:rPr>
      </w:pPr>
      <w:r w:rsidRPr="00694BFE">
        <w:rPr>
          <w:rFonts w:ascii="Times New Roman" w:hAnsi="Times New Roman"/>
          <w:b/>
          <w:sz w:val="24"/>
          <w:szCs w:val="24"/>
          <w:lang w:val="en-US"/>
        </w:rPr>
        <w:t>Abstract</w:t>
      </w:r>
      <w:r w:rsidRPr="00336CE2">
        <w:rPr>
          <w:rFonts w:ascii="Times New Roman" w:hAnsi="Times New Roman"/>
          <w:b/>
          <w:sz w:val="24"/>
          <w:szCs w:val="24"/>
          <w:lang w:val="en-US"/>
        </w:rPr>
        <w:t>.</w:t>
      </w:r>
    </w:p>
    <w:p w:rsidR="00A774F9" w:rsidRPr="00A21E82" w:rsidRDefault="00A774F9" w:rsidP="00A774F9">
      <w:pPr>
        <w:spacing w:line="240" w:lineRule="auto"/>
        <w:jc w:val="both"/>
        <w:rPr>
          <w:rFonts w:ascii="Times New Roman" w:hAnsi="Times New Roman"/>
          <w:sz w:val="24"/>
          <w:szCs w:val="24"/>
          <w:lang w:val="en-US"/>
        </w:rPr>
      </w:pPr>
      <w:r w:rsidRPr="00A21E82">
        <w:rPr>
          <w:rFonts w:ascii="Times New Roman" w:hAnsi="Times New Roman"/>
          <w:sz w:val="24"/>
          <w:szCs w:val="24"/>
          <w:lang w:val="en-US"/>
        </w:rPr>
        <w:t xml:space="preserve">A cross-sectional epidemiological survey was conducted in a sex- and age-stratified sample including 3200 </w:t>
      </w:r>
      <w:proofErr w:type="spellStart"/>
      <w:r w:rsidRPr="00A21E82">
        <w:rPr>
          <w:rFonts w:ascii="Times New Roman" w:hAnsi="Times New Roman"/>
          <w:sz w:val="24"/>
          <w:szCs w:val="24"/>
          <w:lang w:val="en-US"/>
        </w:rPr>
        <w:t>Tver</w:t>
      </w:r>
      <w:proofErr w:type="spellEnd"/>
      <w:r w:rsidRPr="00A21E82">
        <w:rPr>
          <w:rFonts w:ascii="Times New Roman" w:hAnsi="Times New Roman"/>
          <w:sz w:val="24"/>
          <w:szCs w:val="24"/>
          <w:lang w:val="en-US"/>
        </w:rPr>
        <w:t xml:space="preserve"> dwellers aged 18 years or older (75% response). Height, body weight, waist and hip circumferences (WC and HC), and blood pressure (BP) were measured by the standard procedures. Systemic obesity was estimated by the body mass index (BMI), and abdominal obesity was by WC and WC/HC ratio. All variables were separately adjusted by age in each of sex and age groups. </w:t>
      </w:r>
      <w:proofErr w:type="spellStart"/>
      <w:r w:rsidRPr="00A21E82">
        <w:rPr>
          <w:rFonts w:ascii="Times New Roman" w:hAnsi="Times New Roman"/>
          <w:sz w:val="24"/>
          <w:szCs w:val="24"/>
          <w:lang w:val="en-US"/>
        </w:rPr>
        <w:t>Univariate</w:t>
      </w:r>
      <w:proofErr w:type="spellEnd"/>
      <w:r w:rsidRPr="00A21E82">
        <w:rPr>
          <w:rFonts w:ascii="Times New Roman" w:hAnsi="Times New Roman"/>
          <w:sz w:val="24"/>
          <w:szCs w:val="24"/>
          <w:lang w:val="en-US"/>
        </w:rPr>
        <w:t xml:space="preserve"> and multivariate linear (with preliminary BP log-transformation) and logistic (for the higher quintile of variables) regression analyses with and without consideration of the association of BMI and WC (or WC/HC ratio) were made to assess the correlation between systolic and diastolic BP on one hand and WC (or WC/HC ratio) on the other. The analysis provided support for the partially independent pattern of a direct relationship between BP levels on the one hand and the degree of systemic and abdominal obesity on the other. Moreover, the association of BP with the degree of systemic obesity was more significant than that with abdominal obesity. There was a tendency toward a positive multiplicative interaction of systemic and abdominal obesity in the formation of a risk for elevated BP in the age group of 18 to 34 years and toward a negative interaction in the age group of 35 to 64 years. In case of simultaneous consideration of BMI, there were no significant differences in the influence of such abdominal obesity indices, such as WC and WC/HC ratio, on the risk of hypertension. Nevertheless, WC is a more preferable index in a number of signs (determination simplicity, a closer association with BP levels).</w:t>
      </w:r>
    </w:p>
    <w:p w:rsidR="00B843E9" w:rsidRPr="00A774F9" w:rsidRDefault="00B843E9">
      <w:pPr>
        <w:rPr>
          <w:lang w:val="en-US"/>
        </w:rPr>
      </w:pPr>
    </w:p>
    <w:sectPr w:rsidR="00B843E9" w:rsidRPr="00A774F9" w:rsidSect="00B84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4F9"/>
    <w:rsid w:val="002B2036"/>
    <w:rsid w:val="00A774F9"/>
    <w:rsid w:val="00B84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F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77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A774F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2012-03-20T14:59:00Z</dcterms:created>
  <dcterms:modified xsi:type="dcterms:W3CDTF">2012-03-20T15:04:00Z</dcterms:modified>
</cp:coreProperties>
</file>