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D" w:rsidRPr="00694BFE" w:rsidRDefault="006A5A5D" w:rsidP="006A5A5D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6A5A5D" w:rsidRPr="00C326B6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Изменение вегетативной регуляции при нарушениях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тиреоидного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статуса</w:t>
      </w:r>
    </w:p>
    <w:p w:rsidR="006A5A5D" w:rsidRPr="002A0248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r w:rsidRPr="00D42734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Change of vegetative regulation in thyroid status impairment </w:t>
      </w:r>
    </w:p>
    <w:p w:rsidR="006A5A5D" w:rsidRPr="002A0248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</w:p>
    <w:p w:rsidR="006A5A5D" w:rsidRDefault="006A5A5D" w:rsidP="006A5A5D">
      <w:pPr>
        <w:tabs>
          <w:tab w:val="left" w:pos="1399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6A5A5D" w:rsidRPr="00194BBE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>
        <w:rPr>
          <w:rFonts w:ascii="Times New Roman" w:eastAsia="MS PMincho" w:hAnsi="Times New Roman"/>
          <w:sz w:val="24"/>
          <w:szCs w:val="24"/>
          <w:lang w:eastAsia="ru-RU"/>
        </w:rPr>
        <w:t>Березина Е.И.</w:t>
      </w:r>
    </w:p>
    <w:p w:rsidR="006A5A5D" w:rsidRPr="00653450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Berezina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E.I.</w:t>
      </w:r>
    </w:p>
    <w:p w:rsidR="006A5A5D" w:rsidRPr="00694BFE" w:rsidRDefault="006A5A5D" w:rsidP="006A5A5D">
      <w:pPr>
        <w:tabs>
          <w:tab w:val="left" w:pos="13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5A5D" w:rsidRDefault="006A5A5D" w:rsidP="006A5A5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801DE" w:rsidRPr="008801DE" w:rsidRDefault="008801DE" w:rsidP="008801DE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8801DE">
        <w:rPr>
          <w:rFonts w:ascii="Times New Roman" w:eastAsia="MS PMincho" w:hAnsi="Times New Roman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8801DE" w:rsidRPr="008801DE" w:rsidRDefault="008801DE" w:rsidP="008801DE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</w:p>
    <w:p w:rsidR="008801DE" w:rsidRPr="008801DE" w:rsidRDefault="008801DE" w:rsidP="008801DE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r w:rsidRPr="008801DE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State </w:t>
      </w:r>
      <w:proofErr w:type="spellStart"/>
      <w:r w:rsidRPr="008801DE">
        <w:rPr>
          <w:rFonts w:ascii="Times New Roman" w:eastAsia="MS PMincho" w:hAnsi="Times New Roman"/>
          <w:sz w:val="24"/>
          <w:szCs w:val="24"/>
          <w:lang w:val="en-US" w:eastAsia="ru-RU"/>
        </w:rPr>
        <w:t>Budjet</w:t>
      </w:r>
      <w:proofErr w:type="spellEnd"/>
      <w:r w:rsidRPr="008801DE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Institution of High Professional Education “</w:t>
      </w:r>
      <w:proofErr w:type="spellStart"/>
      <w:r w:rsidRPr="008801DE">
        <w:rPr>
          <w:rFonts w:ascii="Times New Roman" w:eastAsia="MS PMincho" w:hAnsi="Times New Roman"/>
          <w:sz w:val="24"/>
          <w:szCs w:val="24"/>
          <w:lang w:val="en-US" w:eastAsia="ru-RU"/>
        </w:rPr>
        <w:t>Tver</w:t>
      </w:r>
      <w:proofErr w:type="spellEnd"/>
      <w:r w:rsidRPr="008801DE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State Medical Academy” of RF Department of Health and Social Development</w:t>
      </w:r>
    </w:p>
    <w:p w:rsidR="008801DE" w:rsidRPr="008801DE" w:rsidRDefault="008801DE" w:rsidP="008801DE">
      <w:pPr>
        <w:ind w:firstLine="708"/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</w:p>
    <w:p w:rsidR="006A5A5D" w:rsidRPr="008801DE" w:rsidRDefault="006A5A5D" w:rsidP="006A5A5D">
      <w:pPr>
        <w:ind w:firstLine="708"/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</w:p>
    <w:p w:rsidR="006A5A5D" w:rsidRPr="008801DE" w:rsidRDefault="006A5A5D" w:rsidP="006A5A5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A5D" w:rsidRDefault="006A5A5D" w:rsidP="006A5A5D">
      <w:pPr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6A5A5D" w:rsidRPr="006A5A5D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>
        <w:rPr>
          <w:rFonts w:ascii="Times New Roman" w:eastAsia="MS PMincho" w:hAnsi="Times New Roman"/>
          <w:sz w:val="24"/>
          <w:szCs w:val="24"/>
          <w:lang w:eastAsia="ru-RU"/>
        </w:rPr>
        <w:t>Аспирантский вестник Поволжья 2008; 10: 23-29.</w:t>
      </w:r>
      <w:r w:rsidRPr="006A5A5D">
        <w:rPr>
          <w:rFonts w:ascii="Times New Roman" w:eastAsia="MS PMincho" w:hAnsi="Times New Roman"/>
          <w:sz w:val="24"/>
          <w:szCs w:val="24"/>
          <w:lang w:eastAsia="ru-RU"/>
        </w:rPr>
        <w:t xml:space="preserve"> </w:t>
      </w:r>
    </w:p>
    <w:p w:rsidR="006A5A5D" w:rsidRPr="00694BFE" w:rsidRDefault="006A5A5D" w:rsidP="006A5A5D">
      <w:pPr>
        <w:jc w:val="both"/>
        <w:rPr>
          <w:rFonts w:ascii="Times New Roman" w:hAnsi="Times New Roman"/>
          <w:b/>
          <w:sz w:val="24"/>
          <w:szCs w:val="24"/>
        </w:rPr>
      </w:pPr>
    </w:p>
    <w:p w:rsidR="006A5A5D" w:rsidRDefault="006A5A5D" w:rsidP="006A5A5D">
      <w:pPr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6A5A5D" w:rsidRDefault="006A5A5D" w:rsidP="006A5A5D">
      <w:pPr>
        <w:rPr>
          <w:rFonts w:ascii="Times New Roman" w:eastAsia="MS PMincho" w:hAnsi="Times New Roman"/>
          <w:sz w:val="24"/>
          <w:szCs w:val="24"/>
          <w:lang w:eastAsia="ru-RU"/>
        </w:rPr>
      </w:pPr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гипотиреоз, гипертиреоз,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симпатикотония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,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ваготония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</w:t>
      </w:r>
    </w:p>
    <w:p w:rsidR="006A5A5D" w:rsidRPr="00694BFE" w:rsidRDefault="006A5A5D" w:rsidP="006A5A5D">
      <w:pPr>
        <w:jc w:val="both"/>
        <w:rPr>
          <w:rFonts w:ascii="Times New Roman" w:hAnsi="Times New Roman"/>
          <w:sz w:val="24"/>
          <w:szCs w:val="24"/>
        </w:rPr>
      </w:pPr>
    </w:p>
    <w:p w:rsidR="006A5A5D" w:rsidRPr="006A5A5D" w:rsidRDefault="006A5A5D" w:rsidP="006A5A5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6A5A5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A5A5D" w:rsidRPr="002A0248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proofErr w:type="gramStart"/>
      <w:r w:rsidRPr="00D42734">
        <w:rPr>
          <w:rFonts w:ascii="Times New Roman" w:eastAsia="MS PMincho" w:hAnsi="Times New Roman"/>
          <w:sz w:val="24"/>
          <w:szCs w:val="24"/>
          <w:lang w:val="en-US" w:eastAsia="ru-RU"/>
        </w:rPr>
        <w:t>vegetative</w:t>
      </w:r>
      <w:proofErr w:type="gramEnd"/>
      <w:r w:rsidRPr="00D42734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tonus, hypo- and hyperthyroid dysfun</w:t>
      </w:r>
      <w:r>
        <w:rPr>
          <w:rFonts w:ascii="Times New Roman" w:eastAsia="MS PMincho" w:hAnsi="Times New Roman"/>
          <w:sz w:val="24"/>
          <w:szCs w:val="24"/>
          <w:lang w:val="en-US" w:eastAsia="ru-RU"/>
        </w:rPr>
        <w:t>c</w:t>
      </w:r>
      <w:r w:rsidRPr="00D42734">
        <w:rPr>
          <w:rFonts w:ascii="Times New Roman" w:eastAsia="MS PMincho" w:hAnsi="Times New Roman"/>
          <w:sz w:val="24"/>
          <w:szCs w:val="24"/>
          <w:lang w:val="en-US" w:eastAsia="ru-RU"/>
        </w:rPr>
        <w:t>tion</w:t>
      </w:r>
    </w:p>
    <w:p w:rsidR="006A5A5D" w:rsidRPr="002A0248" w:rsidRDefault="006A5A5D" w:rsidP="006A5A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5A5D" w:rsidRDefault="006A5A5D" w:rsidP="006A5A5D">
      <w:pPr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6A5A5D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C326B6">
        <w:rPr>
          <w:rFonts w:ascii="Times New Roman" w:eastAsia="MS PMincho" w:hAnsi="Times New Roman"/>
          <w:sz w:val="24"/>
          <w:szCs w:val="24"/>
          <w:lang w:eastAsia="ru-RU"/>
        </w:rPr>
        <w:t>Исследование посвящено оценке вариа</w:t>
      </w:r>
      <w:r>
        <w:rPr>
          <w:rFonts w:ascii="Times New Roman" w:eastAsia="MS PMincho" w:hAnsi="Times New Roman"/>
          <w:sz w:val="24"/>
          <w:szCs w:val="24"/>
          <w:lang w:eastAsia="ru-RU"/>
        </w:rPr>
        <w:t>бельности сердечного ритма</w:t>
      </w:r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у 100 больных с различной тяжестью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гипо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- и гипертиреоза. Обнаружено, что чем тяжелее течение гипотиреоза, тем чаще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ваготония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сменяется компенсаторной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симпатикотонией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, напротив, при прогрессировании гипертиреоза симпатическая стимуляция истощается и начинает нарастать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вагусная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активность, что может служить критерием течения </w:t>
      </w:r>
      <w:proofErr w:type="spellStart"/>
      <w:r w:rsidRPr="00C326B6">
        <w:rPr>
          <w:rFonts w:ascii="Times New Roman" w:eastAsia="MS PMincho" w:hAnsi="Times New Roman"/>
          <w:sz w:val="24"/>
          <w:szCs w:val="24"/>
          <w:lang w:eastAsia="ru-RU"/>
        </w:rPr>
        <w:t>тиреоидной</w:t>
      </w:r>
      <w:proofErr w:type="spellEnd"/>
      <w:r w:rsidRPr="00C326B6">
        <w:rPr>
          <w:rFonts w:ascii="Times New Roman" w:eastAsia="MS PMincho" w:hAnsi="Times New Roman"/>
          <w:sz w:val="24"/>
          <w:szCs w:val="24"/>
          <w:lang w:eastAsia="ru-RU"/>
        </w:rPr>
        <w:t xml:space="preserve"> дисфункции и метаболического дисбаланса.</w:t>
      </w:r>
    </w:p>
    <w:p w:rsidR="006A5A5D" w:rsidRPr="00C326B6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</w:p>
    <w:p w:rsidR="006A5A5D" w:rsidRPr="00694BFE" w:rsidRDefault="006A5A5D" w:rsidP="006A5A5D">
      <w:pPr>
        <w:jc w:val="both"/>
        <w:rPr>
          <w:rFonts w:ascii="Times New Roman" w:hAnsi="Times New Roman"/>
          <w:b/>
          <w:sz w:val="24"/>
          <w:szCs w:val="24"/>
        </w:rPr>
      </w:pPr>
    </w:p>
    <w:p w:rsidR="006A5A5D" w:rsidRPr="006A5A5D" w:rsidRDefault="006A5A5D" w:rsidP="006A5A5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A5A5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A5A5D" w:rsidRPr="006A5A5D" w:rsidRDefault="006A5A5D" w:rsidP="006A5A5D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r w:rsidRPr="00D42734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There was research about vegetative tonus in 100 patients with subclinical, overt and complicated forms of hypothyroidism and hyperthyroidism. </w:t>
      </w:r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Used methods included </w:t>
      </w:r>
      <w:proofErr w:type="spellStart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>cardiointervalography</w:t>
      </w:r>
      <w:proofErr w:type="spellEnd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. The results showed that in progressing hypothyroidism </w:t>
      </w:r>
      <w:proofErr w:type="spellStart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>parasympathic</w:t>
      </w:r>
      <w:proofErr w:type="spellEnd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tonus changes into </w:t>
      </w:r>
      <w:proofErr w:type="spellStart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>sympathic</w:t>
      </w:r>
      <w:proofErr w:type="spellEnd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, in progressing hyperthyroidism overloaded </w:t>
      </w:r>
      <w:proofErr w:type="spellStart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>sympathic</w:t>
      </w:r>
      <w:proofErr w:type="spellEnd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stimulation falls under </w:t>
      </w:r>
      <w:proofErr w:type="spellStart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>parasympathic</w:t>
      </w:r>
      <w:proofErr w:type="spellEnd"/>
      <w:r w:rsidRPr="006A5A5D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effects.</w:t>
      </w:r>
    </w:p>
    <w:p w:rsidR="00B843E9" w:rsidRPr="006A5A5D" w:rsidRDefault="00B843E9">
      <w:pPr>
        <w:rPr>
          <w:lang w:val="en-US"/>
        </w:rPr>
      </w:pPr>
    </w:p>
    <w:sectPr w:rsidR="00B843E9" w:rsidRPr="006A5A5D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5D"/>
    <w:rsid w:val="002B2036"/>
    <w:rsid w:val="00497052"/>
    <w:rsid w:val="006A5A5D"/>
    <w:rsid w:val="008801DE"/>
    <w:rsid w:val="00B843E9"/>
    <w:rsid w:val="00C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5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5A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5</cp:revision>
  <dcterms:created xsi:type="dcterms:W3CDTF">2012-03-20T14:44:00Z</dcterms:created>
  <dcterms:modified xsi:type="dcterms:W3CDTF">2012-03-21T10:05:00Z</dcterms:modified>
</cp:coreProperties>
</file>