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A3" w:rsidRPr="00694BFE" w:rsidRDefault="00D432A3" w:rsidP="00D432A3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D432A3" w:rsidRPr="00AF7C4A" w:rsidRDefault="00D432A3" w:rsidP="00D432A3">
      <w:pPr>
        <w:tabs>
          <w:tab w:val="left" w:pos="2282"/>
        </w:tabs>
      </w:pPr>
      <w:proofErr w:type="spellStart"/>
      <w:r w:rsidRPr="00AF7C4A">
        <w:t>Дисбактериоз</w:t>
      </w:r>
      <w:proofErr w:type="spellEnd"/>
      <w:r w:rsidRPr="00AF7C4A">
        <w:t xml:space="preserve"> </w:t>
      </w:r>
      <w:proofErr w:type="spellStart"/>
      <w:r w:rsidRPr="00AF7C4A">
        <w:t>мукозной</w:t>
      </w:r>
      <w:proofErr w:type="spellEnd"/>
      <w:r w:rsidRPr="00AF7C4A">
        <w:t xml:space="preserve"> микрофлоры </w:t>
      </w:r>
      <w:proofErr w:type="spellStart"/>
      <w:r w:rsidRPr="00AF7C4A">
        <w:t>гастродуоденальной</w:t>
      </w:r>
      <w:proofErr w:type="spellEnd"/>
      <w:r w:rsidRPr="00AF7C4A">
        <w:t xml:space="preserve"> зоны при воспалительно-язвенных поражениях, его диагностика и классификация</w:t>
      </w:r>
      <w:r w:rsidRPr="00AF7C4A">
        <w:tab/>
      </w:r>
    </w:p>
    <w:p w:rsidR="00D432A3" w:rsidRDefault="00D432A3" w:rsidP="00D432A3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D432A3" w:rsidRPr="00AF7C4A" w:rsidRDefault="00D432A3" w:rsidP="00D432A3">
      <w:pPr>
        <w:tabs>
          <w:tab w:val="left" w:pos="1399"/>
        </w:tabs>
        <w:jc w:val="both"/>
      </w:pPr>
      <w:proofErr w:type="spellStart"/>
      <w:r w:rsidRPr="00AF7C4A">
        <w:t>Чернин</w:t>
      </w:r>
      <w:proofErr w:type="spellEnd"/>
      <w:r w:rsidRPr="00AF7C4A">
        <w:t xml:space="preserve"> В.В., Бондаренко В.М., </w:t>
      </w:r>
      <w:proofErr w:type="spellStart"/>
      <w:r w:rsidRPr="00AF7C4A">
        <w:t>Червинец</w:t>
      </w:r>
      <w:proofErr w:type="spellEnd"/>
      <w:r w:rsidRPr="00AF7C4A">
        <w:t xml:space="preserve"> В.М., </w:t>
      </w:r>
      <w:proofErr w:type="spellStart"/>
      <w:r w:rsidRPr="00AF7C4A">
        <w:t>Базлов</w:t>
      </w:r>
      <w:proofErr w:type="spellEnd"/>
      <w:r w:rsidRPr="00AF7C4A">
        <w:t xml:space="preserve"> С.Н.</w:t>
      </w:r>
    </w:p>
    <w:p w:rsidR="00D432A3" w:rsidRDefault="00D432A3" w:rsidP="00D432A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A3" w:rsidRDefault="00D432A3" w:rsidP="00D432A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2D7980" w:rsidRPr="00CD41FF" w:rsidRDefault="002D7980" w:rsidP="002D7980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2D7980" w:rsidRDefault="002D7980" w:rsidP="002D7980">
      <w:pPr>
        <w:jc w:val="both"/>
      </w:pPr>
    </w:p>
    <w:p w:rsidR="002D7980" w:rsidRPr="002D7980" w:rsidRDefault="002D7980" w:rsidP="002D7980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2D7980" w:rsidRPr="002D7980" w:rsidRDefault="002D7980" w:rsidP="002D7980">
      <w:pPr>
        <w:jc w:val="both"/>
        <w:rPr>
          <w:lang w:val="en-US"/>
        </w:rPr>
      </w:pPr>
    </w:p>
    <w:p w:rsidR="00D432A3" w:rsidRPr="002D7980" w:rsidRDefault="00D432A3" w:rsidP="00D432A3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32A3" w:rsidRDefault="00D432A3" w:rsidP="00D432A3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D432A3" w:rsidRPr="00AF7C4A" w:rsidRDefault="00D432A3" w:rsidP="00D432A3">
      <w:pPr>
        <w:jc w:val="both"/>
      </w:pPr>
      <w:r w:rsidRPr="00AF7C4A">
        <w:t>Терапевтический архив, 2008, №2, с.21-25.</w:t>
      </w:r>
    </w:p>
    <w:p w:rsidR="00D432A3" w:rsidRDefault="00D432A3" w:rsidP="00D432A3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D432A3" w:rsidRPr="00694BFE" w:rsidRDefault="00D432A3" w:rsidP="00D432A3">
      <w:pPr>
        <w:jc w:val="both"/>
      </w:pPr>
      <w:proofErr w:type="spellStart"/>
      <w:r w:rsidRPr="00C34260">
        <w:t>мукозная</w:t>
      </w:r>
      <w:proofErr w:type="spellEnd"/>
      <w:r w:rsidRPr="00C34260">
        <w:t xml:space="preserve"> микрофлора, классификация </w:t>
      </w:r>
      <w:proofErr w:type="spellStart"/>
      <w:r w:rsidRPr="00C34260">
        <w:t>дисбактериоза</w:t>
      </w:r>
      <w:proofErr w:type="spellEnd"/>
      <w:r w:rsidRPr="00C34260">
        <w:t xml:space="preserve">, </w:t>
      </w:r>
      <w:proofErr w:type="spellStart"/>
      <w:r w:rsidRPr="00C34260">
        <w:t>гастродуоденальная</w:t>
      </w:r>
      <w:proofErr w:type="spellEnd"/>
      <w:r w:rsidRPr="00C34260">
        <w:t xml:space="preserve"> зона, ЯБ, ХГ</w:t>
      </w:r>
    </w:p>
    <w:p w:rsidR="00D432A3" w:rsidRPr="00D432A3" w:rsidRDefault="00D432A3" w:rsidP="00D432A3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D432A3">
        <w:rPr>
          <w:b/>
          <w:lang w:val="en-US"/>
        </w:rPr>
        <w:t>:</w:t>
      </w:r>
    </w:p>
    <w:p w:rsidR="00D432A3" w:rsidRPr="00AF7C4A" w:rsidRDefault="00D432A3" w:rsidP="00D432A3">
      <w:pPr>
        <w:jc w:val="both"/>
        <w:rPr>
          <w:lang w:val="en-US"/>
        </w:rPr>
      </w:pPr>
      <w:proofErr w:type="gramStart"/>
      <w:r w:rsidRPr="002D7980">
        <w:rPr>
          <w:rStyle w:val="hps"/>
          <w:lang w:val="en-US"/>
        </w:rPr>
        <w:t>mucosal</w:t>
      </w:r>
      <w:proofErr w:type="gramEnd"/>
      <w:r w:rsidRPr="002D7980">
        <w:rPr>
          <w:lang w:val="en-US"/>
        </w:rPr>
        <w:t xml:space="preserve"> </w:t>
      </w:r>
      <w:proofErr w:type="spellStart"/>
      <w:r w:rsidRPr="002D7980">
        <w:rPr>
          <w:rStyle w:val="hps"/>
          <w:lang w:val="en-US"/>
        </w:rPr>
        <w:t>microflora</w:t>
      </w:r>
      <w:proofErr w:type="spellEnd"/>
      <w:r w:rsidRPr="002D7980">
        <w:rPr>
          <w:rStyle w:val="hps"/>
          <w:lang w:val="en-US"/>
        </w:rPr>
        <w:t xml:space="preserve">, classification of </w:t>
      </w:r>
      <w:proofErr w:type="spellStart"/>
      <w:r w:rsidRPr="002D7980">
        <w:rPr>
          <w:rStyle w:val="hps"/>
          <w:lang w:val="en-US"/>
        </w:rPr>
        <w:t>dysbacterios</w:t>
      </w:r>
      <w:proofErr w:type="spellEnd"/>
      <w:r w:rsidRPr="002D7980">
        <w:rPr>
          <w:rStyle w:val="hps"/>
          <w:lang w:val="en-US"/>
        </w:rPr>
        <w:t xml:space="preserve">, </w:t>
      </w:r>
      <w:proofErr w:type="spellStart"/>
      <w:r w:rsidRPr="002D7980">
        <w:rPr>
          <w:rStyle w:val="hps"/>
          <w:lang w:val="en-US"/>
        </w:rPr>
        <w:t>gastroduodenal</w:t>
      </w:r>
      <w:proofErr w:type="spellEnd"/>
      <w:r w:rsidRPr="002D7980">
        <w:rPr>
          <w:rStyle w:val="hps"/>
          <w:lang w:val="en-US"/>
        </w:rPr>
        <w:t xml:space="preserve"> zone, ulcer disease, chronic gastritis</w:t>
      </w:r>
    </w:p>
    <w:p w:rsidR="00D432A3" w:rsidRDefault="00D432A3" w:rsidP="00D432A3">
      <w:pPr>
        <w:jc w:val="both"/>
        <w:rPr>
          <w:b/>
        </w:rPr>
      </w:pPr>
      <w:r w:rsidRPr="00694BFE">
        <w:rPr>
          <w:b/>
        </w:rPr>
        <w:t>Резюме.</w:t>
      </w:r>
    </w:p>
    <w:p w:rsidR="00D432A3" w:rsidRPr="00694BFE" w:rsidRDefault="00D432A3" w:rsidP="00D432A3">
      <w:pPr>
        <w:jc w:val="both"/>
        <w:rPr>
          <w:b/>
        </w:rPr>
      </w:pPr>
      <w:r w:rsidRPr="00C34260">
        <w:t>Исследована</w:t>
      </w:r>
      <w:r w:rsidRPr="00C34260">
        <w:rPr>
          <w:i/>
        </w:rPr>
        <w:t xml:space="preserve"> </w:t>
      </w:r>
      <w:proofErr w:type="spellStart"/>
      <w:r w:rsidRPr="00C34260">
        <w:t>мукозная</w:t>
      </w:r>
      <w:proofErr w:type="spellEnd"/>
      <w:r w:rsidRPr="00C34260">
        <w:t xml:space="preserve"> микрофлора желудка и двенадцатиперстной кишки у здоровых людей, определен ее характер у больных язвенной болезнью и хроническим гастритом, разработаны на основании полученных данных критерии диагностики и классификации </w:t>
      </w:r>
      <w:proofErr w:type="spellStart"/>
      <w:r w:rsidRPr="00C34260">
        <w:t>дисбактериоза</w:t>
      </w:r>
      <w:proofErr w:type="spellEnd"/>
      <w:r w:rsidRPr="00C34260">
        <w:t xml:space="preserve"> </w:t>
      </w:r>
      <w:proofErr w:type="spellStart"/>
      <w:r w:rsidRPr="00C34260">
        <w:t>гастродуоденальной</w:t>
      </w:r>
      <w:proofErr w:type="spellEnd"/>
      <w:r w:rsidRPr="00C34260">
        <w:t xml:space="preserve"> зоны. Материалом служили </w:t>
      </w:r>
      <w:proofErr w:type="spellStart"/>
      <w:r w:rsidRPr="00C34260">
        <w:t>биоптаты</w:t>
      </w:r>
      <w:proofErr w:type="spellEnd"/>
      <w:r w:rsidRPr="00C34260">
        <w:t xml:space="preserve">  слизистой оболочки </w:t>
      </w:r>
      <w:proofErr w:type="spellStart"/>
      <w:r w:rsidRPr="00C34260">
        <w:t>периульцерозной</w:t>
      </w:r>
      <w:proofErr w:type="spellEnd"/>
      <w:r w:rsidRPr="00C34260">
        <w:t xml:space="preserve"> зоны, а также отдаленных от них  участков  желудка и двенадцатиперстной кишки, взятые у 134 больных язвенной болезнью и 36 – хроническим гастритом (средний возраст: 48</w:t>
      </w:r>
      <w:r w:rsidRPr="00C34260">
        <w:sym w:font="Symbol" w:char="F0B1"/>
      </w:r>
      <w:r w:rsidRPr="00C34260">
        <w:t>15.6 и 54.</w:t>
      </w:r>
      <w:r w:rsidRPr="00C34260">
        <w:sym w:font="Symbol" w:char="F0B1"/>
      </w:r>
      <w:r w:rsidRPr="00C34260">
        <w:t xml:space="preserve">12.4 года).  </w:t>
      </w:r>
      <w:proofErr w:type="gramStart"/>
      <w:r w:rsidRPr="00C34260">
        <w:t xml:space="preserve">Микроорганизмы выделялась у всех пациентов  в сочетаниях  двух-восьми (в среднем 5,3) культур 22  родов  в количестве 2.8-5.76 </w:t>
      </w:r>
      <w:proofErr w:type="spellStart"/>
      <w:r w:rsidRPr="00C34260">
        <w:t>lg</w:t>
      </w:r>
      <w:proofErr w:type="spellEnd"/>
      <w:r w:rsidRPr="00C34260">
        <w:t xml:space="preserve"> КОЕ/г.  По частоте  выявления (65%-85%) и в количественном отношении</w:t>
      </w:r>
      <w:r w:rsidRPr="00C34260">
        <w:rPr>
          <w:i/>
          <w:iCs/>
        </w:rPr>
        <w:t xml:space="preserve"> </w:t>
      </w:r>
      <w:r w:rsidRPr="00C34260">
        <w:t xml:space="preserve">доминировали </w:t>
      </w:r>
      <w:r w:rsidRPr="00C34260">
        <w:rPr>
          <w:iCs/>
          <w:lang w:val="en-US"/>
        </w:rPr>
        <w:t>Staphylococcus</w:t>
      </w:r>
      <w:r w:rsidRPr="00C34260">
        <w:rPr>
          <w:iCs/>
        </w:rPr>
        <w:t xml:space="preserve"> </w:t>
      </w:r>
      <w:proofErr w:type="spellStart"/>
      <w:r w:rsidRPr="00C34260">
        <w:rPr>
          <w:iCs/>
          <w:lang w:val="en-US"/>
        </w:rPr>
        <w:t>spp</w:t>
      </w:r>
      <w:proofErr w:type="spellEnd"/>
      <w:r w:rsidRPr="00C34260">
        <w:rPr>
          <w:iCs/>
        </w:rPr>
        <w:t xml:space="preserve">., и </w:t>
      </w:r>
      <w:r w:rsidRPr="00C34260">
        <w:rPr>
          <w:iCs/>
          <w:lang w:val="en-US"/>
        </w:rPr>
        <w:t>Streptococcus</w:t>
      </w:r>
      <w:r w:rsidRPr="00C34260">
        <w:rPr>
          <w:iCs/>
        </w:rPr>
        <w:t xml:space="preserve"> </w:t>
      </w:r>
      <w:proofErr w:type="spellStart"/>
      <w:r w:rsidRPr="00C34260">
        <w:rPr>
          <w:iCs/>
          <w:lang w:val="en-US"/>
        </w:rPr>
        <w:t>spp</w:t>
      </w:r>
      <w:proofErr w:type="spellEnd"/>
      <w:r w:rsidRPr="00C34260">
        <w:rPr>
          <w:iCs/>
        </w:rPr>
        <w:t xml:space="preserve">., реже (21.0-37.5%) </w:t>
      </w:r>
      <w:r w:rsidRPr="00C34260">
        <w:t xml:space="preserve">выделялись бактерии семейства </w:t>
      </w:r>
      <w:proofErr w:type="spellStart"/>
      <w:r w:rsidRPr="00C34260">
        <w:rPr>
          <w:iCs/>
          <w:lang w:val="en-US"/>
        </w:rPr>
        <w:t>Enterobacteriaceae</w:t>
      </w:r>
      <w:proofErr w:type="spellEnd"/>
      <w:r w:rsidRPr="00C34260">
        <w:rPr>
          <w:iCs/>
        </w:rPr>
        <w:t xml:space="preserve"> </w:t>
      </w:r>
      <w:proofErr w:type="spellStart"/>
      <w:r w:rsidRPr="00C34260">
        <w:rPr>
          <w:iCs/>
          <w:lang w:val="en-US"/>
        </w:rPr>
        <w:t>spp</w:t>
      </w:r>
      <w:proofErr w:type="spellEnd"/>
      <w:r w:rsidRPr="00C34260">
        <w:t xml:space="preserve">., </w:t>
      </w:r>
      <w:proofErr w:type="spellStart"/>
      <w:r w:rsidRPr="00C34260">
        <w:rPr>
          <w:lang w:val="en-US"/>
        </w:rPr>
        <w:t>Veillonella</w:t>
      </w:r>
      <w:proofErr w:type="spellEnd"/>
      <w:r w:rsidRPr="00C34260">
        <w:t xml:space="preserve"> </w:t>
      </w:r>
      <w:proofErr w:type="spellStart"/>
      <w:r w:rsidRPr="00C34260">
        <w:rPr>
          <w:lang w:val="en-US"/>
        </w:rPr>
        <w:t>spp</w:t>
      </w:r>
      <w:proofErr w:type="spellEnd"/>
      <w:r w:rsidRPr="00C34260">
        <w:t>.,</w:t>
      </w:r>
      <w:r w:rsidRPr="00C34260">
        <w:rPr>
          <w:iCs/>
        </w:rPr>
        <w:t xml:space="preserve"> </w:t>
      </w:r>
      <w:r w:rsidRPr="00C34260">
        <w:rPr>
          <w:iCs/>
          <w:lang w:val="en-US"/>
        </w:rPr>
        <w:t>H</w:t>
      </w:r>
      <w:r w:rsidRPr="00C34260">
        <w:rPr>
          <w:iCs/>
        </w:rPr>
        <w:t xml:space="preserve">. </w:t>
      </w:r>
      <w:r w:rsidRPr="00C34260">
        <w:rPr>
          <w:iCs/>
          <w:lang w:val="en-US"/>
        </w:rPr>
        <w:t>pylori</w:t>
      </w:r>
      <w:r w:rsidRPr="00C34260">
        <w:rPr>
          <w:iCs/>
        </w:rPr>
        <w:t xml:space="preserve">, </w:t>
      </w:r>
      <w:proofErr w:type="spellStart"/>
      <w:r w:rsidRPr="00C34260">
        <w:rPr>
          <w:iCs/>
          <w:lang w:val="en-US"/>
        </w:rPr>
        <w:t>Bacteroides</w:t>
      </w:r>
      <w:proofErr w:type="spellEnd"/>
      <w:r w:rsidRPr="00C34260">
        <w:rPr>
          <w:iCs/>
        </w:rPr>
        <w:t xml:space="preserve"> </w:t>
      </w:r>
      <w:proofErr w:type="spellStart"/>
      <w:r w:rsidRPr="00C34260">
        <w:rPr>
          <w:iCs/>
          <w:lang w:val="en-US"/>
        </w:rPr>
        <w:t>spp</w:t>
      </w:r>
      <w:proofErr w:type="spellEnd"/>
      <w:r w:rsidRPr="00C34260">
        <w:rPr>
          <w:iCs/>
        </w:rPr>
        <w:t>.</w:t>
      </w:r>
      <w:r w:rsidRPr="00C34260">
        <w:t xml:space="preserve">, </w:t>
      </w:r>
      <w:r w:rsidRPr="00C34260">
        <w:rPr>
          <w:iCs/>
          <w:lang w:val="en-US"/>
        </w:rPr>
        <w:t>Micrococcus</w:t>
      </w:r>
      <w:r w:rsidRPr="00C34260">
        <w:rPr>
          <w:iCs/>
        </w:rPr>
        <w:t xml:space="preserve"> </w:t>
      </w:r>
      <w:proofErr w:type="spellStart"/>
      <w:r w:rsidRPr="00C34260">
        <w:rPr>
          <w:iCs/>
          <w:lang w:val="en-US"/>
        </w:rPr>
        <w:t>spp</w:t>
      </w:r>
      <w:proofErr w:type="spellEnd"/>
      <w:r w:rsidRPr="00C34260">
        <w:t>., грибы рода</w:t>
      </w:r>
      <w:r w:rsidRPr="00C34260">
        <w:rPr>
          <w:iCs/>
        </w:rPr>
        <w:t xml:space="preserve"> </w:t>
      </w:r>
      <w:r w:rsidRPr="00C34260">
        <w:rPr>
          <w:iCs/>
          <w:lang w:val="en-US"/>
        </w:rPr>
        <w:t>Candida</w:t>
      </w:r>
      <w:r w:rsidRPr="00C34260">
        <w:rPr>
          <w:iCs/>
        </w:rPr>
        <w:t xml:space="preserve">  </w:t>
      </w:r>
      <w:r w:rsidRPr="00C34260">
        <w:t xml:space="preserve">и </w:t>
      </w:r>
      <w:r w:rsidRPr="00C34260">
        <w:rPr>
          <w:iCs/>
          <w:lang w:val="en-US"/>
        </w:rPr>
        <w:t>Lactobacillus</w:t>
      </w:r>
      <w:r w:rsidRPr="00C34260">
        <w:rPr>
          <w:iCs/>
        </w:rPr>
        <w:t xml:space="preserve"> </w:t>
      </w:r>
      <w:proofErr w:type="spellStart"/>
      <w:r w:rsidRPr="00C34260">
        <w:rPr>
          <w:iCs/>
          <w:lang w:val="en-US"/>
        </w:rPr>
        <w:t>spp</w:t>
      </w:r>
      <w:proofErr w:type="spellEnd"/>
      <w:r w:rsidRPr="00C34260">
        <w:t>.</w:t>
      </w:r>
      <w:proofErr w:type="gramEnd"/>
      <w:r w:rsidRPr="00C34260">
        <w:rPr>
          <w:iCs/>
        </w:rPr>
        <w:t xml:space="preserve"> </w:t>
      </w:r>
      <w:r w:rsidRPr="00C34260">
        <w:t xml:space="preserve">Разработана классификация </w:t>
      </w:r>
      <w:proofErr w:type="spellStart"/>
      <w:r w:rsidRPr="00C34260">
        <w:t>дисбактериоза</w:t>
      </w:r>
      <w:proofErr w:type="spellEnd"/>
      <w:r w:rsidRPr="00C34260">
        <w:t xml:space="preserve"> </w:t>
      </w:r>
      <w:proofErr w:type="spellStart"/>
      <w:r w:rsidRPr="00C34260">
        <w:t>мукозной</w:t>
      </w:r>
      <w:proofErr w:type="spellEnd"/>
      <w:r w:rsidRPr="00C34260">
        <w:t xml:space="preserve"> микрофлоры </w:t>
      </w:r>
      <w:proofErr w:type="spellStart"/>
      <w:r w:rsidRPr="00C34260">
        <w:t>гастродуоденальной</w:t>
      </w:r>
      <w:proofErr w:type="spellEnd"/>
      <w:r w:rsidRPr="00C34260">
        <w:t xml:space="preserve"> зоны, основываясь на клинических и микробиологических критериях.</w:t>
      </w:r>
    </w:p>
    <w:p w:rsidR="00D432A3" w:rsidRPr="00AF7C4A" w:rsidRDefault="00D432A3" w:rsidP="00D432A3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AF7C4A">
        <w:rPr>
          <w:b/>
          <w:lang w:val="en-US"/>
        </w:rPr>
        <w:t>.</w:t>
      </w:r>
    </w:p>
    <w:p w:rsidR="00D432A3" w:rsidRPr="00D432A3" w:rsidRDefault="00D432A3" w:rsidP="00D432A3">
      <w:pPr>
        <w:jc w:val="both"/>
        <w:rPr>
          <w:b/>
          <w:lang w:val="en-US"/>
        </w:rPr>
      </w:pPr>
      <w:r w:rsidRPr="00C34260">
        <w:rPr>
          <w:lang w:val="en-US"/>
        </w:rPr>
        <w:t>T</w:t>
      </w:r>
      <w:r w:rsidRPr="002D7980">
        <w:rPr>
          <w:rStyle w:val="hps"/>
          <w:lang w:val="en-US"/>
        </w:rPr>
        <w:t>he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mucosal</w:t>
      </w:r>
      <w:r w:rsidRPr="002D7980">
        <w:rPr>
          <w:lang w:val="en-US"/>
        </w:rPr>
        <w:t xml:space="preserve"> </w:t>
      </w:r>
      <w:proofErr w:type="spellStart"/>
      <w:r w:rsidRPr="002D7980">
        <w:rPr>
          <w:rStyle w:val="hps"/>
          <w:lang w:val="en-US"/>
        </w:rPr>
        <w:t>microflora</w:t>
      </w:r>
      <w:proofErr w:type="spellEnd"/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of gastric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and duodenal ulcers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in healthy subjects have been investigated,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determined its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nature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in patients with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peptic ulcer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and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chronic gastritis,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developed criteria for the diagnosis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and classification of</w:t>
      </w:r>
      <w:r w:rsidRPr="002D7980">
        <w:rPr>
          <w:lang w:val="en-US"/>
        </w:rPr>
        <w:t xml:space="preserve"> </w:t>
      </w:r>
      <w:proofErr w:type="spellStart"/>
      <w:r w:rsidRPr="002D7980">
        <w:rPr>
          <w:rStyle w:val="hps"/>
          <w:lang w:val="en-US"/>
        </w:rPr>
        <w:t>gastroduodenal</w:t>
      </w:r>
      <w:proofErr w:type="spellEnd"/>
      <w:r w:rsidRPr="002D7980">
        <w:rPr>
          <w:lang w:val="en-US"/>
        </w:rPr>
        <w:t xml:space="preserve"> </w:t>
      </w:r>
      <w:proofErr w:type="spellStart"/>
      <w:r w:rsidRPr="002D7980">
        <w:rPr>
          <w:rStyle w:val="hps"/>
          <w:lang w:val="en-US"/>
        </w:rPr>
        <w:t>dysbiosis</w:t>
      </w:r>
      <w:proofErr w:type="spellEnd"/>
      <w:r w:rsidRPr="002D7980">
        <w:rPr>
          <w:rStyle w:val="hps"/>
          <w:lang w:val="en-US"/>
        </w:rPr>
        <w:t xml:space="preserve"> on the basis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of obtained data</w:t>
      </w:r>
      <w:r w:rsidRPr="002D7980">
        <w:rPr>
          <w:lang w:val="en-US"/>
        </w:rPr>
        <w:t xml:space="preserve">. </w:t>
      </w:r>
      <w:r w:rsidRPr="002D7980">
        <w:rPr>
          <w:rStyle w:val="hps"/>
          <w:lang w:val="en-US"/>
        </w:rPr>
        <w:t>The material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was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mucosal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biopsy</w:t>
      </w:r>
      <w:r w:rsidRPr="002D7980">
        <w:rPr>
          <w:lang w:val="en-US"/>
        </w:rPr>
        <w:t xml:space="preserve"> of </w:t>
      </w:r>
      <w:r w:rsidRPr="002D7980">
        <w:rPr>
          <w:rStyle w:val="hps"/>
          <w:lang w:val="en-US"/>
        </w:rPr>
        <w:t>zone near ulcer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and in remote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areas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of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the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stomach and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intestine,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taken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in 134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ulcer patients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and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36 -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with chronic gastritis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(mean age</w:t>
      </w:r>
      <w:r w:rsidRPr="002D7980">
        <w:rPr>
          <w:lang w:val="en-US"/>
        </w:rPr>
        <w:t>: 48</w:t>
      </w:r>
      <w:r w:rsidRPr="00C34260">
        <w:rPr>
          <w:rStyle w:val="hps"/>
        </w:rPr>
        <w:sym w:font="Symbol" w:char="F0B1"/>
      </w:r>
      <w:r w:rsidRPr="002D7980">
        <w:rPr>
          <w:rStyle w:val="hps"/>
          <w:lang w:val="en-US"/>
        </w:rPr>
        <w:t>15</w:t>
      </w:r>
      <w:proofErr w:type="gramStart"/>
      <w:r w:rsidRPr="002D7980">
        <w:rPr>
          <w:rStyle w:val="hps"/>
          <w:lang w:val="en-US"/>
        </w:rPr>
        <w:t>,6</w:t>
      </w:r>
      <w:proofErr w:type="gramEnd"/>
      <w:r w:rsidRPr="002D7980">
        <w:rPr>
          <w:rStyle w:val="hps"/>
          <w:lang w:val="en-US"/>
        </w:rPr>
        <w:t xml:space="preserve"> and 54</w:t>
      </w:r>
      <w:r w:rsidRPr="00C34260">
        <w:sym w:font="Symbol" w:char="F0B1"/>
      </w:r>
      <w:r w:rsidRPr="002D7980">
        <w:rPr>
          <w:lang w:val="en-US"/>
        </w:rPr>
        <w:t xml:space="preserve">12,4 </w:t>
      </w:r>
      <w:r w:rsidRPr="002D7980">
        <w:rPr>
          <w:rStyle w:val="hps"/>
          <w:lang w:val="en-US"/>
        </w:rPr>
        <w:t>years).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Microorganisms</w:t>
      </w:r>
      <w:r w:rsidRPr="002D7980">
        <w:rPr>
          <w:lang w:val="en-US"/>
        </w:rPr>
        <w:t xml:space="preserve"> isolated from</w:t>
      </w:r>
      <w:r w:rsidRPr="002D7980">
        <w:rPr>
          <w:rStyle w:val="hps"/>
          <w:lang w:val="en-US"/>
        </w:rPr>
        <w:t xml:space="preserve"> all patients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in combinations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of two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to eight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(average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5,3)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cultures of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the 22 genera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in the amount of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2,8-5,76 lg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CFU/g.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Staphylococcus spp.</w:t>
      </w:r>
      <w:r w:rsidRPr="002D7980">
        <w:rPr>
          <w:lang w:val="en-US"/>
        </w:rPr>
        <w:t xml:space="preserve"> a</w:t>
      </w:r>
      <w:r w:rsidRPr="002D7980">
        <w:rPr>
          <w:rStyle w:val="hps"/>
          <w:lang w:val="en-US"/>
        </w:rPr>
        <w:t>nd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Streptococcus spp. dominated in terms of frequency</w:t>
      </w:r>
      <w:r w:rsidRPr="002D7980">
        <w:rPr>
          <w:lang w:val="en-US"/>
        </w:rPr>
        <w:t xml:space="preserve"> </w:t>
      </w:r>
      <w:r w:rsidRPr="002D7980">
        <w:rPr>
          <w:rStyle w:val="hpsatn"/>
          <w:lang w:val="en-US"/>
        </w:rPr>
        <w:t>of detection (</w:t>
      </w:r>
      <w:r w:rsidRPr="002D7980">
        <w:rPr>
          <w:lang w:val="en-US"/>
        </w:rPr>
        <w:t xml:space="preserve">65% </w:t>
      </w:r>
      <w:r w:rsidRPr="002D7980">
        <w:rPr>
          <w:rStyle w:val="hps"/>
          <w:lang w:val="en-US"/>
        </w:rPr>
        <w:t>-85%)</w:t>
      </w:r>
      <w:r w:rsidRPr="002D7980">
        <w:rPr>
          <w:lang w:val="en-US"/>
        </w:rPr>
        <w:t xml:space="preserve"> and in </w:t>
      </w:r>
      <w:r w:rsidRPr="002D7980">
        <w:rPr>
          <w:rStyle w:val="hps"/>
          <w:lang w:val="en-US"/>
        </w:rPr>
        <w:t>quantitative characteristics,</w:t>
      </w:r>
      <w:r w:rsidRPr="002D7980">
        <w:rPr>
          <w:lang w:val="en-US"/>
        </w:rPr>
        <w:t xml:space="preserve"> l</w:t>
      </w:r>
      <w:r w:rsidRPr="002D7980">
        <w:rPr>
          <w:rStyle w:val="hpsatn"/>
          <w:lang w:val="en-US"/>
        </w:rPr>
        <w:t>ess frequently (</w:t>
      </w:r>
      <w:r w:rsidRPr="002D7980">
        <w:rPr>
          <w:lang w:val="en-US"/>
        </w:rPr>
        <w:t xml:space="preserve">21,0-37,5%) </w:t>
      </w:r>
      <w:r w:rsidRPr="002D7980">
        <w:rPr>
          <w:rStyle w:val="hps"/>
          <w:lang w:val="en-US"/>
        </w:rPr>
        <w:t>were allocated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bacteria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of the family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Enterobacteriaceae spp., Veillonella spp., H.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pylori, Bacteroides spp., Micrococcus spp.,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fungi of the genus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Candida and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Lactobacillus spp.</w:t>
      </w:r>
      <w:r w:rsidRPr="002D7980">
        <w:rPr>
          <w:lang w:val="en-US"/>
        </w:rPr>
        <w:t xml:space="preserve"> It was developed t</w:t>
      </w:r>
      <w:r w:rsidRPr="002D7980">
        <w:rPr>
          <w:rStyle w:val="hps"/>
          <w:lang w:val="en-US"/>
        </w:rPr>
        <w:t>he classification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of the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mucosal</w:t>
      </w:r>
      <w:r w:rsidRPr="002D7980">
        <w:rPr>
          <w:lang w:val="en-US"/>
        </w:rPr>
        <w:t xml:space="preserve"> </w:t>
      </w:r>
      <w:r w:rsidRPr="002D7980">
        <w:rPr>
          <w:rStyle w:val="hps"/>
          <w:lang w:val="en-US"/>
        </w:rPr>
        <w:t>microflora dysbacterios</w:t>
      </w:r>
      <w:r w:rsidRPr="002D7980">
        <w:rPr>
          <w:lang w:val="en-US"/>
        </w:rPr>
        <w:t xml:space="preserve"> of </w:t>
      </w:r>
      <w:r w:rsidRPr="002D7980">
        <w:rPr>
          <w:rStyle w:val="hps"/>
          <w:lang w:val="en-US"/>
        </w:rPr>
        <w:t>gastroduodenal zone</w:t>
      </w:r>
      <w:r w:rsidRPr="002D7980">
        <w:rPr>
          <w:lang w:val="en-US"/>
        </w:rPr>
        <w:t xml:space="preserve">, based </w:t>
      </w:r>
      <w:r w:rsidRPr="002D7980">
        <w:rPr>
          <w:rStyle w:val="hps"/>
          <w:lang w:val="en-US"/>
        </w:rPr>
        <w:t>on clinical</w:t>
      </w:r>
      <w:r w:rsidRPr="002D7980">
        <w:rPr>
          <w:lang w:val="en-US"/>
        </w:rPr>
        <w:t xml:space="preserve"> </w:t>
      </w:r>
      <w:r w:rsidRPr="002D7980">
        <w:rPr>
          <w:rStyle w:val="hpsatn"/>
          <w:lang w:val="en-US"/>
        </w:rPr>
        <w:t>and micro</w:t>
      </w:r>
      <w:r w:rsidRPr="002D7980">
        <w:rPr>
          <w:lang w:val="en-US"/>
        </w:rPr>
        <w:t xml:space="preserve">biological </w:t>
      </w:r>
      <w:r w:rsidRPr="002D7980">
        <w:rPr>
          <w:rStyle w:val="hps"/>
          <w:lang w:val="en-US"/>
        </w:rPr>
        <w:t>criteria.</w:t>
      </w:r>
    </w:p>
    <w:p w:rsidR="00D432A3" w:rsidRPr="00D432A3" w:rsidRDefault="00D432A3" w:rsidP="00D432A3">
      <w:pPr>
        <w:ind w:left="720"/>
        <w:jc w:val="both"/>
        <w:rPr>
          <w:b/>
          <w:lang w:val="en-US"/>
        </w:rPr>
      </w:pPr>
    </w:p>
    <w:p w:rsidR="00F55698" w:rsidRPr="00070294" w:rsidRDefault="00F55698">
      <w:pPr>
        <w:rPr>
          <w:lang w:val="en-US"/>
        </w:rPr>
      </w:pPr>
    </w:p>
    <w:sectPr w:rsidR="00F55698" w:rsidRPr="00070294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94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294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1AF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D7980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0E2F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D673D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32A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18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43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32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D432A3"/>
  </w:style>
  <w:style w:type="character" w:customStyle="1" w:styleId="hpsatn">
    <w:name w:val="hps atn"/>
    <w:basedOn w:val="a0"/>
    <w:rsid w:val="00D43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2012-03-19T08:39:00Z</dcterms:created>
  <dcterms:modified xsi:type="dcterms:W3CDTF">2012-03-21T10:11:00Z</dcterms:modified>
</cp:coreProperties>
</file>