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D6" w:rsidRPr="00694BFE" w:rsidRDefault="006423D6" w:rsidP="006423D6">
      <w:pPr>
        <w:tabs>
          <w:tab w:val="left" w:pos="2282"/>
        </w:tabs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Название статьи:</w:t>
      </w:r>
    </w:p>
    <w:p w:rsidR="006423D6" w:rsidRPr="00E63791" w:rsidRDefault="006423D6" w:rsidP="006423D6">
      <w:pPr>
        <w:pStyle w:val="a3"/>
        <w:spacing w:line="240" w:lineRule="auto"/>
        <w:ind w:firstLine="0"/>
        <w:jc w:val="both"/>
        <w:rPr>
          <w:sz w:val="24"/>
        </w:rPr>
      </w:pPr>
      <w:r w:rsidRPr="00E63791">
        <w:rPr>
          <w:sz w:val="24"/>
        </w:rPr>
        <w:t>Структура поражений поверхностей зубов кариозным процессом</w:t>
      </w:r>
      <w:r>
        <w:rPr>
          <w:sz w:val="24"/>
        </w:rPr>
        <w:t xml:space="preserve"> </w:t>
      </w:r>
      <w:r w:rsidRPr="00E63791">
        <w:rPr>
          <w:sz w:val="24"/>
        </w:rPr>
        <w:t xml:space="preserve">у детей,  страдающих хроническими заболеваниями  </w:t>
      </w:r>
      <w:proofErr w:type="spellStart"/>
      <w:r w:rsidRPr="00E63791">
        <w:rPr>
          <w:sz w:val="24"/>
        </w:rPr>
        <w:t>гастродуоденальной</w:t>
      </w:r>
      <w:proofErr w:type="spellEnd"/>
      <w:r w:rsidRPr="00E63791">
        <w:rPr>
          <w:sz w:val="24"/>
        </w:rPr>
        <w:t xml:space="preserve"> области</w:t>
      </w:r>
    </w:p>
    <w:p w:rsidR="006423D6" w:rsidRDefault="006423D6" w:rsidP="006423D6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6423D6" w:rsidRPr="00E63791" w:rsidRDefault="006423D6" w:rsidP="006423D6">
      <w:pPr>
        <w:pStyle w:val="2"/>
        <w:spacing w:line="240" w:lineRule="auto"/>
        <w:ind w:left="0"/>
        <w:jc w:val="both"/>
        <w:rPr>
          <w:sz w:val="24"/>
          <w:szCs w:val="24"/>
          <w:lang w:val="en-US"/>
        </w:rPr>
      </w:pPr>
      <w:r w:rsidRPr="00E63791">
        <w:rPr>
          <w:sz w:val="24"/>
          <w:szCs w:val="24"/>
          <w:lang w:val="en-US"/>
        </w:rPr>
        <w:t xml:space="preserve">Structure of lesions of dental surfaces by carious process in children suffering from chronic diseases of </w:t>
      </w:r>
      <w:proofErr w:type="spellStart"/>
      <w:r w:rsidRPr="00E63791">
        <w:rPr>
          <w:sz w:val="24"/>
          <w:szCs w:val="24"/>
          <w:lang w:val="en-US"/>
        </w:rPr>
        <w:t>gastroduodenal</w:t>
      </w:r>
      <w:proofErr w:type="spellEnd"/>
      <w:r w:rsidRPr="00E63791">
        <w:rPr>
          <w:sz w:val="24"/>
          <w:szCs w:val="24"/>
          <w:lang w:val="en-US"/>
        </w:rPr>
        <w:t xml:space="preserve"> area</w:t>
      </w:r>
    </w:p>
    <w:p w:rsidR="006423D6" w:rsidRPr="00E63791" w:rsidRDefault="006423D6" w:rsidP="006423D6">
      <w:pPr>
        <w:tabs>
          <w:tab w:val="left" w:pos="2282"/>
        </w:tabs>
        <w:rPr>
          <w:sz w:val="24"/>
          <w:szCs w:val="24"/>
          <w:lang w:val="en-US"/>
        </w:rPr>
      </w:pPr>
      <w:r w:rsidRPr="00E63791">
        <w:rPr>
          <w:b/>
          <w:sz w:val="24"/>
          <w:szCs w:val="24"/>
          <w:lang w:val="en-US"/>
        </w:rPr>
        <w:tab/>
      </w:r>
    </w:p>
    <w:p w:rsidR="006423D6" w:rsidRDefault="006423D6" w:rsidP="006423D6">
      <w:pPr>
        <w:tabs>
          <w:tab w:val="left" w:pos="1399"/>
        </w:tabs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Авторы:</w:t>
      </w:r>
      <w:r w:rsidRPr="00694BFE">
        <w:rPr>
          <w:b/>
          <w:sz w:val="24"/>
          <w:szCs w:val="24"/>
        </w:rPr>
        <w:tab/>
      </w:r>
    </w:p>
    <w:p w:rsidR="006423D6" w:rsidRPr="00E63791" w:rsidRDefault="006423D6" w:rsidP="006423D6">
      <w:pPr>
        <w:ind w:left="-540" w:right="1" w:firstLine="540"/>
        <w:jc w:val="both"/>
        <w:rPr>
          <w:sz w:val="24"/>
          <w:szCs w:val="24"/>
        </w:rPr>
      </w:pPr>
      <w:r w:rsidRPr="00E63791">
        <w:rPr>
          <w:sz w:val="24"/>
          <w:szCs w:val="24"/>
        </w:rPr>
        <w:t xml:space="preserve">Гаврилова О.А., </w:t>
      </w:r>
      <w:proofErr w:type="spellStart"/>
      <w:r w:rsidRPr="00E63791">
        <w:rPr>
          <w:sz w:val="24"/>
          <w:szCs w:val="24"/>
        </w:rPr>
        <w:t>Зюзькова</w:t>
      </w:r>
      <w:proofErr w:type="spellEnd"/>
      <w:r w:rsidRPr="00E63791">
        <w:rPr>
          <w:sz w:val="24"/>
          <w:szCs w:val="24"/>
        </w:rPr>
        <w:t xml:space="preserve"> С.А., Иванова О.В.</w:t>
      </w:r>
    </w:p>
    <w:p w:rsidR="006423D6" w:rsidRPr="00E63791" w:rsidRDefault="006423D6" w:rsidP="006423D6">
      <w:pPr>
        <w:pStyle w:val="2"/>
        <w:spacing w:line="240" w:lineRule="auto"/>
        <w:ind w:left="0"/>
        <w:jc w:val="both"/>
        <w:rPr>
          <w:bCs/>
          <w:sz w:val="24"/>
          <w:szCs w:val="24"/>
        </w:rPr>
      </w:pPr>
      <w:proofErr w:type="spellStart"/>
      <w:r w:rsidRPr="00E63791">
        <w:rPr>
          <w:bCs/>
          <w:sz w:val="24"/>
          <w:szCs w:val="24"/>
          <w:lang w:val="en-US"/>
        </w:rPr>
        <w:t>Gavrilova</w:t>
      </w:r>
      <w:proofErr w:type="spellEnd"/>
      <w:r w:rsidRPr="00E63791">
        <w:rPr>
          <w:bCs/>
          <w:sz w:val="24"/>
          <w:szCs w:val="24"/>
        </w:rPr>
        <w:t xml:space="preserve"> </w:t>
      </w:r>
      <w:r w:rsidRPr="00E63791">
        <w:rPr>
          <w:bCs/>
          <w:sz w:val="24"/>
          <w:szCs w:val="24"/>
          <w:lang w:val="en-US"/>
        </w:rPr>
        <w:t>O</w:t>
      </w:r>
      <w:r w:rsidRPr="00E63791">
        <w:rPr>
          <w:bCs/>
          <w:sz w:val="24"/>
          <w:szCs w:val="24"/>
        </w:rPr>
        <w:t>.</w:t>
      </w:r>
      <w:r w:rsidRPr="00E63791">
        <w:rPr>
          <w:bCs/>
          <w:sz w:val="24"/>
          <w:szCs w:val="24"/>
          <w:lang w:val="en-US"/>
        </w:rPr>
        <w:t>A</w:t>
      </w:r>
      <w:r w:rsidRPr="00E63791">
        <w:rPr>
          <w:bCs/>
          <w:sz w:val="24"/>
          <w:szCs w:val="24"/>
        </w:rPr>
        <w:t xml:space="preserve">., </w:t>
      </w:r>
      <w:proofErr w:type="spellStart"/>
      <w:r w:rsidRPr="00E63791">
        <w:rPr>
          <w:bCs/>
          <w:sz w:val="24"/>
          <w:szCs w:val="24"/>
          <w:lang w:val="en-US"/>
        </w:rPr>
        <w:t>Zyuzkova</w:t>
      </w:r>
      <w:proofErr w:type="spellEnd"/>
      <w:r w:rsidRPr="00E63791">
        <w:rPr>
          <w:bCs/>
          <w:sz w:val="24"/>
          <w:szCs w:val="24"/>
        </w:rPr>
        <w:t xml:space="preserve"> </w:t>
      </w:r>
      <w:r w:rsidRPr="00E63791">
        <w:rPr>
          <w:bCs/>
          <w:sz w:val="24"/>
          <w:szCs w:val="24"/>
          <w:lang w:val="en-US"/>
        </w:rPr>
        <w:t>S</w:t>
      </w:r>
      <w:r w:rsidRPr="00E63791">
        <w:rPr>
          <w:bCs/>
          <w:sz w:val="24"/>
          <w:szCs w:val="24"/>
        </w:rPr>
        <w:t>.</w:t>
      </w:r>
      <w:r w:rsidRPr="00E63791">
        <w:rPr>
          <w:bCs/>
          <w:sz w:val="24"/>
          <w:szCs w:val="24"/>
          <w:lang w:val="en-US"/>
        </w:rPr>
        <w:t>A</w:t>
      </w:r>
      <w:r w:rsidRPr="00E63791">
        <w:rPr>
          <w:bCs/>
          <w:sz w:val="24"/>
          <w:szCs w:val="24"/>
        </w:rPr>
        <w:t xml:space="preserve">., </w:t>
      </w:r>
      <w:proofErr w:type="spellStart"/>
      <w:r w:rsidRPr="00E63791">
        <w:rPr>
          <w:bCs/>
          <w:sz w:val="24"/>
          <w:szCs w:val="24"/>
          <w:lang w:val="en-US"/>
        </w:rPr>
        <w:t>Ivanova</w:t>
      </w:r>
      <w:proofErr w:type="spellEnd"/>
      <w:r w:rsidRPr="00E63791">
        <w:rPr>
          <w:bCs/>
          <w:sz w:val="24"/>
          <w:szCs w:val="24"/>
        </w:rPr>
        <w:t xml:space="preserve"> </w:t>
      </w:r>
      <w:r w:rsidRPr="00E63791">
        <w:rPr>
          <w:bCs/>
          <w:sz w:val="24"/>
          <w:szCs w:val="24"/>
          <w:lang w:val="en-US"/>
        </w:rPr>
        <w:t>O</w:t>
      </w:r>
      <w:r w:rsidRPr="00E63791">
        <w:rPr>
          <w:bCs/>
          <w:sz w:val="24"/>
          <w:szCs w:val="24"/>
        </w:rPr>
        <w:t>.</w:t>
      </w:r>
      <w:r w:rsidRPr="00E63791">
        <w:rPr>
          <w:bCs/>
          <w:sz w:val="24"/>
          <w:szCs w:val="24"/>
          <w:lang w:val="en-US"/>
        </w:rPr>
        <w:t>V</w:t>
      </w:r>
      <w:r w:rsidRPr="00E63791">
        <w:rPr>
          <w:bCs/>
          <w:sz w:val="24"/>
          <w:szCs w:val="24"/>
        </w:rPr>
        <w:t>.</w:t>
      </w:r>
    </w:p>
    <w:p w:rsidR="006423D6" w:rsidRPr="00694BFE" w:rsidRDefault="006423D6" w:rsidP="006423D6">
      <w:pPr>
        <w:tabs>
          <w:tab w:val="left" w:pos="1399"/>
        </w:tabs>
        <w:jc w:val="both"/>
        <w:rPr>
          <w:b/>
          <w:sz w:val="24"/>
          <w:szCs w:val="24"/>
        </w:rPr>
      </w:pPr>
    </w:p>
    <w:p w:rsidR="006423D6" w:rsidRDefault="006423D6" w:rsidP="006423D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B127A9" w:rsidRPr="00B127A9" w:rsidRDefault="00B127A9" w:rsidP="00B127A9">
      <w:pPr>
        <w:jc w:val="both"/>
        <w:rPr>
          <w:sz w:val="24"/>
          <w:szCs w:val="24"/>
        </w:rPr>
      </w:pPr>
      <w:r w:rsidRPr="00B127A9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B127A9" w:rsidRPr="00B127A9" w:rsidRDefault="00B127A9" w:rsidP="00B127A9">
      <w:pPr>
        <w:jc w:val="both"/>
        <w:rPr>
          <w:sz w:val="24"/>
          <w:szCs w:val="24"/>
        </w:rPr>
      </w:pPr>
    </w:p>
    <w:p w:rsidR="00B127A9" w:rsidRPr="00B127A9" w:rsidRDefault="00B127A9" w:rsidP="00B127A9">
      <w:pPr>
        <w:jc w:val="both"/>
        <w:rPr>
          <w:sz w:val="24"/>
          <w:szCs w:val="24"/>
          <w:lang w:val="en-US"/>
        </w:rPr>
      </w:pPr>
      <w:r w:rsidRPr="00B127A9">
        <w:rPr>
          <w:sz w:val="24"/>
          <w:szCs w:val="24"/>
          <w:lang w:val="en-US"/>
        </w:rPr>
        <w:t xml:space="preserve">State </w:t>
      </w:r>
      <w:proofErr w:type="spellStart"/>
      <w:r w:rsidRPr="00B127A9">
        <w:rPr>
          <w:sz w:val="24"/>
          <w:szCs w:val="24"/>
          <w:lang w:val="en-US"/>
        </w:rPr>
        <w:t>Budjet</w:t>
      </w:r>
      <w:proofErr w:type="spellEnd"/>
      <w:r w:rsidRPr="00B127A9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B127A9">
        <w:rPr>
          <w:sz w:val="24"/>
          <w:szCs w:val="24"/>
          <w:lang w:val="en-US"/>
        </w:rPr>
        <w:t>Tver</w:t>
      </w:r>
      <w:proofErr w:type="spellEnd"/>
      <w:r w:rsidRPr="00B127A9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B127A9" w:rsidRPr="00B127A9" w:rsidRDefault="00B127A9" w:rsidP="00B127A9">
      <w:pPr>
        <w:jc w:val="both"/>
        <w:rPr>
          <w:sz w:val="24"/>
          <w:szCs w:val="24"/>
          <w:lang w:val="en-US"/>
        </w:rPr>
      </w:pPr>
    </w:p>
    <w:p w:rsidR="006423D6" w:rsidRDefault="006423D6" w:rsidP="006423D6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Место публикации статьи</w:t>
      </w:r>
    </w:p>
    <w:p w:rsidR="006423D6" w:rsidRPr="00E63791" w:rsidRDefault="006423D6" w:rsidP="006423D6">
      <w:pPr>
        <w:pStyle w:val="a3"/>
        <w:ind w:firstLine="0"/>
        <w:jc w:val="both"/>
        <w:rPr>
          <w:sz w:val="24"/>
        </w:rPr>
      </w:pPr>
      <w:r w:rsidRPr="00E63791">
        <w:rPr>
          <w:sz w:val="24"/>
        </w:rPr>
        <w:t xml:space="preserve">Российский вестник </w:t>
      </w:r>
      <w:proofErr w:type="spellStart"/>
      <w:r w:rsidRPr="00E63791">
        <w:rPr>
          <w:sz w:val="24"/>
        </w:rPr>
        <w:t>перинатологии</w:t>
      </w:r>
      <w:proofErr w:type="spellEnd"/>
      <w:r w:rsidRPr="00E63791">
        <w:rPr>
          <w:sz w:val="24"/>
        </w:rPr>
        <w:t xml:space="preserve"> и педиатрии.- 2010.- Том 55, №2.-С. 91-95.</w:t>
      </w:r>
    </w:p>
    <w:p w:rsidR="006423D6" w:rsidRPr="00694BFE" w:rsidRDefault="006423D6" w:rsidP="006423D6">
      <w:pPr>
        <w:jc w:val="both"/>
        <w:rPr>
          <w:b/>
          <w:sz w:val="24"/>
          <w:szCs w:val="24"/>
        </w:rPr>
      </w:pPr>
    </w:p>
    <w:p w:rsidR="006423D6" w:rsidRDefault="006423D6" w:rsidP="006423D6">
      <w:pPr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Ключевые слова</w:t>
      </w:r>
      <w:r w:rsidRPr="00694BFE">
        <w:rPr>
          <w:sz w:val="24"/>
          <w:szCs w:val="24"/>
        </w:rPr>
        <w:t xml:space="preserve">: </w:t>
      </w:r>
    </w:p>
    <w:p w:rsidR="006423D6" w:rsidRPr="00694BFE" w:rsidRDefault="006423D6" w:rsidP="006423D6">
      <w:pPr>
        <w:jc w:val="both"/>
        <w:rPr>
          <w:sz w:val="24"/>
          <w:szCs w:val="24"/>
        </w:rPr>
      </w:pPr>
      <w:r w:rsidRPr="00E63791">
        <w:rPr>
          <w:sz w:val="24"/>
          <w:szCs w:val="24"/>
        </w:rPr>
        <w:t>соматическая патология, гастродуодениты, школьники, кариес, поверхности зуба, маркер уровня здоровья</w:t>
      </w:r>
    </w:p>
    <w:p w:rsidR="006423D6" w:rsidRPr="006423D6" w:rsidRDefault="006423D6" w:rsidP="006423D6">
      <w:pPr>
        <w:jc w:val="both"/>
        <w:rPr>
          <w:bCs/>
          <w:sz w:val="24"/>
          <w:szCs w:val="24"/>
          <w:lang w:val="en-US"/>
        </w:rPr>
      </w:pPr>
      <w:r w:rsidRPr="00694BFE">
        <w:rPr>
          <w:b/>
          <w:sz w:val="24"/>
          <w:szCs w:val="24"/>
          <w:lang w:val="en-US"/>
        </w:rPr>
        <w:t>Keywords</w:t>
      </w:r>
      <w:r w:rsidRPr="00E63791">
        <w:rPr>
          <w:b/>
          <w:sz w:val="24"/>
          <w:szCs w:val="24"/>
          <w:lang w:val="en-US"/>
        </w:rPr>
        <w:t>:</w:t>
      </w:r>
      <w:r w:rsidRPr="00E63791">
        <w:rPr>
          <w:bCs/>
          <w:sz w:val="24"/>
          <w:szCs w:val="24"/>
          <w:lang w:val="en-US"/>
        </w:rPr>
        <w:t xml:space="preserve"> </w:t>
      </w:r>
    </w:p>
    <w:p w:rsidR="006423D6" w:rsidRPr="00E63791" w:rsidRDefault="006423D6" w:rsidP="006423D6">
      <w:pPr>
        <w:jc w:val="both"/>
        <w:rPr>
          <w:b/>
          <w:sz w:val="24"/>
          <w:szCs w:val="24"/>
          <w:lang w:val="en-US"/>
        </w:rPr>
      </w:pPr>
      <w:proofErr w:type="gramStart"/>
      <w:r w:rsidRPr="00E63791">
        <w:rPr>
          <w:bCs/>
          <w:sz w:val="24"/>
          <w:szCs w:val="24"/>
          <w:lang w:val="en-US"/>
        </w:rPr>
        <w:t>somatic</w:t>
      </w:r>
      <w:proofErr w:type="gramEnd"/>
      <w:r w:rsidRPr="00E63791">
        <w:rPr>
          <w:bCs/>
          <w:sz w:val="24"/>
          <w:szCs w:val="24"/>
          <w:lang w:val="en-US"/>
        </w:rPr>
        <w:t xml:space="preserve"> pathology, </w:t>
      </w:r>
      <w:proofErr w:type="spellStart"/>
      <w:r w:rsidRPr="00E63791">
        <w:rPr>
          <w:bCs/>
          <w:sz w:val="24"/>
          <w:szCs w:val="24"/>
          <w:lang w:val="en-US"/>
        </w:rPr>
        <w:t>gastroduodenites</w:t>
      </w:r>
      <w:proofErr w:type="spellEnd"/>
      <w:r w:rsidRPr="00E63791">
        <w:rPr>
          <w:bCs/>
          <w:sz w:val="24"/>
          <w:szCs w:val="24"/>
          <w:lang w:val="en-US"/>
        </w:rPr>
        <w:t>, schoolchildren, carious lesion of dental surface.</w:t>
      </w:r>
    </w:p>
    <w:p w:rsidR="006423D6" w:rsidRPr="00E63791" w:rsidRDefault="006423D6" w:rsidP="006423D6">
      <w:pPr>
        <w:jc w:val="both"/>
        <w:rPr>
          <w:sz w:val="24"/>
          <w:szCs w:val="24"/>
          <w:lang w:val="en-US"/>
        </w:rPr>
      </w:pPr>
    </w:p>
    <w:p w:rsidR="006423D6" w:rsidRDefault="006423D6" w:rsidP="006423D6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Резюме.</w:t>
      </w:r>
    </w:p>
    <w:p w:rsidR="006423D6" w:rsidRPr="00694BFE" w:rsidRDefault="006423D6" w:rsidP="006423D6">
      <w:pPr>
        <w:jc w:val="both"/>
        <w:rPr>
          <w:b/>
          <w:sz w:val="24"/>
          <w:szCs w:val="24"/>
        </w:rPr>
      </w:pPr>
      <w:r w:rsidRPr="00E63791">
        <w:rPr>
          <w:sz w:val="24"/>
          <w:szCs w:val="24"/>
        </w:rPr>
        <w:t xml:space="preserve">Представлены результаты </w:t>
      </w:r>
      <w:proofErr w:type="gramStart"/>
      <w:r w:rsidRPr="00E63791">
        <w:rPr>
          <w:sz w:val="24"/>
          <w:szCs w:val="24"/>
        </w:rPr>
        <w:t>определения особенностей кариозного поражения  твердых тканей зубов</w:t>
      </w:r>
      <w:proofErr w:type="gramEnd"/>
      <w:r w:rsidRPr="00E63791">
        <w:rPr>
          <w:sz w:val="24"/>
          <w:szCs w:val="24"/>
        </w:rPr>
        <w:t xml:space="preserve"> у 324 школьников 10, 12 и 15 лет, страдающих хронической патологией </w:t>
      </w:r>
      <w:proofErr w:type="spellStart"/>
      <w:r w:rsidRPr="00E63791">
        <w:rPr>
          <w:sz w:val="24"/>
          <w:szCs w:val="24"/>
        </w:rPr>
        <w:t>гастродуоденальной</w:t>
      </w:r>
      <w:proofErr w:type="spellEnd"/>
      <w:r w:rsidRPr="00E63791">
        <w:rPr>
          <w:sz w:val="24"/>
          <w:szCs w:val="24"/>
        </w:rPr>
        <w:t xml:space="preserve"> области. Установлено, что у детей и подростков с соматической патологией чаще поражаются контактные поверхности, а на постоянных зубах определено поражение вестибулярных и оральных поверхностей. Результаты исследования подтверждают необходимость коррекции мероприятий по комплексной профилактике и лечению стоматологических заболеваний у детей с хроническими заболеваниями </w:t>
      </w:r>
      <w:proofErr w:type="spellStart"/>
      <w:r w:rsidRPr="00E63791">
        <w:rPr>
          <w:sz w:val="24"/>
          <w:szCs w:val="24"/>
        </w:rPr>
        <w:t>гастродуоденальной</w:t>
      </w:r>
      <w:proofErr w:type="spellEnd"/>
      <w:r w:rsidRPr="00E63791">
        <w:rPr>
          <w:sz w:val="24"/>
          <w:szCs w:val="24"/>
        </w:rPr>
        <w:t xml:space="preserve"> области. В этих случаях должно быть предусмотрено более интенсивное воздействие на патологические изменения в полости рта.</w:t>
      </w:r>
    </w:p>
    <w:p w:rsidR="006423D6" w:rsidRPr="006423D6" w:rsidRDefault="006423D6" w:rsidP="006423D6">
      <w:pPr>
        <w:jc w:val="both"/>
        <w:rPr>
          <w:b/>
          <w:sz w:val="24"/>
          <w:szCs w:val="24"/>
          <w:lang w:val="en-US"/>
        </w:rPr>
      </w:pPr>
      <w:r w:rsidRPr="00694BFE">
        <w:rPr>
          <w:b/>
          <w:sz w:val="24"/>
          <w:szCs w:val="24"/>
          <w:lang w:val="en-US"/>
        </w:rPr>
        <w:t>Abstract</w:t>
      </w:r>
      <w:r w:rsidRPr="006423D6">
        <w:rPr>
          <w:b/>
          <w:sz w:val="24"/>
          <w:szCs w:val="24"/>
          <w:lang w:val="en-US"/>
        </w:rPr>
        <w:t>.</w:t>
      </w:r>
    </w:p>
    <w:p w:rsidR="006423D6" w:rsidRPr="006423D6" w:rsidRDefault="006423D6" w:rsidP="006423D6">
      <w:pPr>
        <w:pStyle w:val="2"/>
        <w:spacing w:line="240" w:lineRule="auto"/>
        <w:ind w:left="0"/>
        <w:jc w:val="both"/>
        <w:rPr>
          <w:bCs/>
          <w:sz w:val="24"/>
          <w:szCs w:val="24"/>
          <w:lang w:val="en-US"/>
        </w:rPr>
      </w:pPr>
      <w:r w:rsidRPr="00E63791">
        <w:rPr>
          <w:bCs/>
          <w:sz w:val="24"/>
          <w:szCs w:val="24"/>
          <w:lang w:val="en-US"/>
        </w:rPr>
        <w:t xml:space="preserve">Results of determination of carious lesions features of hard dental tissues in </w:t>
      </w:r>
      <w:proofErr w:type="gramStart"/>
      <w:r w:rsidRPr="00E63791">
        <w:rPr>
          <w:bCs/>
          <w:sz w:val="24"/>
          <w:szCs w:val="24"/>
          <w:lang w:val="en-US"/>
        </w:rPr>
        <w:t>324  schoolchildren</w:t>
      </w:r>
      <w:proofErr w:type="gramEnd"/>
      <w:r w:rsidRPr="00E63791">
        <w:rPr>
          <w:bCs/>
          <w:sz w:val="24"/>
          <w:szCs w:val="24"/>
          <w:lang w:val="en-US"/>
        </w:rPr>
        <w:t xml:space="preserve"> aged 10, 12 and 15 years suffering from chronic pathology of </w:t>
      </w:r>
      <w:proofErr w:type="spellStart"/>
      <w:r w:rsidRPr="00E63791">
        <w:rPr>
          <w:bCs/>
          <w:sz w:val="24"/>
          <w:szCs w:val="24"/>
          <w:lang w:val="en-US"/>
        </w:rPr>
        <w:t>gactroduodenal</w:t>
      </w:r>
      <w:proofErr w:type="spellEnd"/>
      <w:r w:rsidRPr="00E63791">
        <w:rPr>
          <w:bCs/>
          <w:sz w:val="24"/>
          <w:szCs w:val="24"/>
          <w:lang w:val="en-US"/>
        </w:rPr>
        <w:t xml:space="preserve"> area are presented.  It was established that in children and adolescents who had somatic pathology, more often contact surfaces were affected and in permanent teeth vestibular </w:t>
      </w:r>
      <w:proofErr w:type="gramStart"/>
      <w:r w:rsidRPr="00E63791">
        <w:rPr>
          <w:bCs/>
          <w:sz w:val="24"/>
          <w:szCs w:val="24"/>
          <w:lang w:val="en-US"/>
        </w:rPr>
        <w:t>and  oral</w:t>
      </w:r>
      <w:proofErr w:type="gramEnd"/>
      <w:r w:rsidRPr="00E63791">
        <w:rPr>
          <w:bCs/>
          <w:sz w:val="24"/>
          <w:szCs w:val="24"/>
          <w:lang w:val="en-US"/>
        </w:rPr>
        <w:t xml:space="preserve"> surfaces damage was observed. </w:t>
      </w:r>
    </w:p>
    <w:p w:rsidR="006423D6" w:rsidRPr="00E63791" w:rsidRDefault="006423D6" w:rsidP="006423D6">
      <w:pPr>
        <w:pStyle w:val="2"/>
        <w:spacing w:line="240" w:lineRule="auto"/>
        <w:ind w:left="0"/>
        <w:jc w:val="both"/>
        <w:rPr>
          <w:bCs/>
          <w:sz w:val="24"/>
          <w:szCs w:val="24"/>
          <w:lang w:val="en-US"/>
        </w:rPr>
      </w:pPr>
      <w:r w:rsidRPr="00E63791">
        <w:rPr>
          <w:bCs/>
          <w:sz w:val="24"/>
          <w:szCs w:val="24"/>
          <w:lang w:val="en-US"/>
        </w:rPr>
        <w:t xml:space="preserve">The results of the study confirm the need of correlation of measures for complex prevention and treatment of dental </w:t>
      </w:r>
      <w:proofErr w:type="gramStart"/>
      <w:r w:rsidRPr="00E63791">
        <w:rPr>
          <w:bCs/>
          <w:sz w:val="24"/>
          <w:szCs w:val="24"/>
          <w:lang w:val="en-US"/>
        </w:rPr>
        <w:t>diseases  in</w:t>
      </w:r>
      <w:proofErr w:type="gramEnd"/>
      <w:r w:rsidRPr="00E63791">
        <w:rPr>
          <w:bCs/>
          <w:sz w:val="24"/>
          <w:szCs w:val="24"/>
          <w:lang w:val="en-US"/>
        </w:rPr>
        <w:t xml:space="preserve"> children with  chronic disorders of  </w:t>
      </w:r>
      <w:proofErr w:type="spellStart"/>
      <w:r w:rsidRPr="00E63791">
        <w:rPr>
          <w:bCs/>
          <w:sz w:val="24"/>
          <w:szCs w:val="24"/>
          <w:lang w:val="en-US"/>
        </w:rPr>
        <w:t>gastroduodenal</w:t>
      </w:r>
      <w:proofErr w:type="spellEnd"/>
      <w:r w:rsidRPr="00E63791">
        <w:rPr>
          <w:bCs/>
          <w:sz w:val="24"/>
          <w:szCs w:val="24"/>
          <w:lang w:val="en-US"/>
        </w:rPr>
        <w:t xml:space="preserve"> area. In such cases more intensive </w:t>
      </w:r>
      <w:proofErr w:type="gramStart"/>
      <w:r w:rsidRPr="00E63791">
        <w:rPr>
          <w:bCs/>
          <w:sz w:val="24"/>
          <w:szCs w:val="24"/>
          <w:lang w:val="en-US"/>
        </w:rPr>
        <w:t>impact  on</w:t>
      </w:r>
      <w:proofErr w:type="gramEnd"/>
      <w:r w:rsidRPr="00E63791">
        <w:rPr>
          <w:bCs/>
          <w:sz w:val="24"/>
          <w:szCs w:val="24"/>
          <w:lang w:val="en-US"/>
        </w:rPr>
        <w:t xml:space="preserve"> oral pathologic alterations should be provided for.</w:t>
      </w:r>
    </w:p>
    <w:p w:rsidR="00B843E9" w:rsidRPr="006423D6" w:rsidRDefault="00B843E9">
      <w:pPr>
        <w:rPr>
          <w:lang w:val="en-US"/>
        </w:rPr>
      </w:pPr>
    </w:p>
    <w:sectPr w:rsidR="00B843E9" w:rsidRPr="006423D6" w:rsidSect="00B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D6"/>
    <w:rsid w:val="001545C1"/>
    <w:rsid w:val="002B2036"/>
    <w:rsid w:val="006423D6"/>
    <w:rsid w:val="00AB4B61"/>
    <w:rsid w:val="00AE57AC"/>
    <w:rsid w:val="00B06875"/>
    <w:rsid w:val="00B127A9"/>
    <w:rsid w:val="00B8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23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23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423D6"/>
    <w:pPr>
      <w:spacing w:line="360" w:lineRule="auto"/>
      <w:ind w:firstLine="709"/>
      <w:jc w:val="center"/>
    </w:pPr>
    <w:rPr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42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642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6423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</cp:lastModifiedBy>
  <cp:revision>8</cp:revision>
  <dcterms:created xsi:type="dcterms:W3CDTF">2012-03-20T14:38:00Z</dcterms:created>
  <dcterms:modified xsi:type="dcterms:W3CDTF">2012-03-21T18:36:00Z</dcterms:modified>
</cp:coreProperties>
</file>