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75" w:rsidRPr="00694BFE" w:rsidRDefault="003D4A75" w:rsidP="003D4A75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3D4A75" w:rsidRDefault="003D4A75" w:rsidP="003D4A75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A75">
        <w:rPr>
          <w:rFonts w:ascii="Times New Roman" w:eastAsia="Times New Roman" w:hAnsi="Times New Roman"/>
          <w:sz w:val="24"/>
          <w:szCs w:val="24"/>
        </w:rPr>
        <w:t xml:space="preserve">«Проявления соединительнотканной дисплазии у детей с </w:t>
      </w:r>
      <w:proofErr w:type="spellStart"/>
      <w:r w:rsidRPr="003D4A75">
        <w:rPr>
          <w:rFonts w:ascii="Times New Roman" w:eastAsia="Times New Roman" w:hAnsi="Times New Roman"/>
          <w:sz w:val="24"/>
          <w:szCs w:val="24"/>
        </w:rPr>
        <w:t>гастроэзофагеальной</w:t>
      </w:r>
      <w:proofErr w:type="spellEnd"/>
      <w:r w:rsidRPr="003D4A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4A75">
        <w:rPr>
          <w:rFonts w:ascii="Times New Roman" w:eastAsia="Times New Roman" w:hAnsi="Times New Roman"/>
          <w:sz w:val="24"/>
          <w:szCs w:val="24"/>
        </w:rPr>
        <w:t>рефлюксной</w:t>
      </w:r>
      <w:proofErr w:type="spellEnd"/>
      <w:r w:rsidRPr="003D4A75">
        <w:rPr>
          <w:rFonts w:ascii="Times New Roman" w:eastAsia="Times New Roman" w:hAnsi="Times New Roman"/>
          <w:sz w:val="24"/>
          <w:szCs w:val="24"/>
        </w:rPr>
        <w:t xml:space="preserve"> болезнью»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D4A75" w:rsidRPr="00420C06" w:rsidRDefault="003D4A75" w:rsidP="003D4A75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 xml:space="preserve">«Displays of connective tissue dysplasia in children with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dasease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>».</w:t>
      </w:r>
      <w:proofErr w:type="gramEnd"/>
      <w:r w:rsidRPr="00420C06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3D4A75" w:rsidRPr="003D4A75" w:rsidRDefault="003D4A75" w:rsidP="003D4A75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</w:t>
      </w:r>
      <w:r w:rsidRPr="003D4A75">
        <w:rPr>
          <w:rFonts w:ascii="Times New Roman" w:hAnsi="Times New Roman"/>
          <w:b/>
          <w:sz w:val="24"/>
          <w:szCs w:val="24"/>
        </w:rPr>
        <w:t>:</w:t>
      </w:r>
      <w:r w:rsidRPr="003D4A75">
        <w:rPr>
          <w:rFonts w:ascii="Times New Roman" w:hAnsi="Times New Roman"/>
          <w:b/>
          <w:sz w:val="24"/>
          <w:szCs w:val="24"/>
        </w:rPr>
        <w:tab/>
      </w:r>
    </w:p>
    <w:p w:rsidR="003D4A75" w:rsidRDefault="003D4A75" w:rsidP="003D4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С.Ф.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Гнусаев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Ю.С.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Апенченко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>, И.И. Иванова</w:t>
      </w:r>
      <w:r w:rsidRPr="00420C06">
        <w:rPr>
          <w:rFonts w:ascii="Times New Roman" w:hAnsi="Times New Roman"/>
          <w:sz w:val="24"/>
          <w:szCs w:val="24"/>
        </w:rPr>
        <w:t xml:space="preserve">. </w:t>
      </w:r>
    </w:p>
    <w:p w:rsidR="003D4A75" w:rsidRPr="00420C06" w:rsidRDefault="003D4A75" w:rsidP="003D4A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Gnusaev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S.F.,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Apenchenko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Yu.S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Ivanova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I.I. </w:t>
      </w:r>
    </w:p>
    <w:p w:rsidR="003D4A75" w:rsidRPr="00420C06" w:rsidRDefault="003D4A75" w:rsidP="003D4A75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4A75" w:rsidRDefault="003D4A75" w:rsidP="003D4A7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B2D93" w:rsidRPr="00BB2D93" w:rsidRDefault="00BB2D93" w:rsidP="00BB2D93">
      <w:pPr>
        <w:jc w:val="both"/>
        <w:rPr>
          <w:rFonts w:ascii="Times New Roman" w:hAnsi="Times New Roman"/>
          <w:sz w:val="24"/>
          <w:szCs w:val="24"/>
        </w:rPr>
      </w:pPr>
      <w:r w:rsidRPr="00BB2D93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BB2D93" w:rsidRPr="00BB2D93" w:rsidRDefault="00BB2D93" w:rsidP="00BB2D93">
      <w:pPr>
        <w:jc w:val="both"/>
        <w:rPr>
          <w:rFonts w:ascii="Times New Roman" w:hAnsi="Times New Roman"/>
          <w:sz w:val="24"/>
          <w:szCs w:val="24"/>
        </w:rPr>
      </w:pPr>
    </w:p>
    <w:p w:rsidR="00BB2D93" w:rsidRPr="00BB2D93" w:rsidRDefault="00BB2D93" w:rsidP="00BB2D9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B2D93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BB2D93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BB2D93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BB2D93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BB2D93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BB2D93" w:rsidRPr="00BB2D93" w:rsidRDefault="00BB2D93" w:rsidP="00BB2D93">
      <w:pPr>
        <w:jc w:val="both"/>
        <w:rPr>
          <w:lang w:val="en-US"/>
        </w:rPr>
      </w:pPr>
    </w:p>
    <w:p w:rsidR="003D4A75" w:rsidRPr="00BB2D93" w:rsidRDefault="003D4A75" w:rsidP="003D4A7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A75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3D4A75" w:rsidRPr="00420C06" w:rsidRDefault="003D4A75" w:rsidP="003D4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«Педиатрия», 2006 г., №6, с. 33-36</w:t>
      </w:r>
      <w:r w:rsidRPr="00420C06">
        <w:rPr>
          <w:rFonts w:ascii="Times New Roman" w:hAnsi="Times New Roman"/>
          <w:sz w:val="24"/>
          <w:szCs w:val="24"/>
        </w:rPr>
        <w:t>.</w:t>
      </w:r>
    </w:p>
    <w:p w:rsidR="003D4A75" w:rsidRPr="00694BFE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A75" w:rsidRDefault="003D4A75" w:rsidP="003D4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3D4A75" w:rsidRPr="00694BFE" w:rsidRDefault="003D4A75" w:rsidP="003D4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дисплазия соединительной ткани, дети,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>.</w:t>
      </w:r>
    </w:p>
    <w:p w:rsidR="003D4A75" w:rsidRPr="003D4A75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3D4A7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D4A75" w:rsidRPr="00420C06" w:rsidRDefault="003D4A75" w:rsidP="003D4A7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connective</w:t>
      </w:r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 xml:space="preserve"> tissue dysplasia,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sz w:val="24"/>
          <w:szCs w:val="24"/>
          <w:lang w:val="en-US"/>
        </w:rPr>
        <w:t>children,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reflux.</w:t>
      </w:r>
    </w:p>
    <w:p w:rsidR="003D4A75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3D4A75" w:rsidRPr="00420C06" w:rsidRDefault="003D4A75" w:rsidP="003D4A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Предпринята попытка рассмотреть сочетаемость таких признаков как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и недифференцированная дисплазия соединительной ткани. Обследовано 156 детей с хроническими гастродуоденитами, по данным 24-часовой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рН-метрии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пациенты разделены на 3 группы: с кислым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рефлюксом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щелочным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рефлюксом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без патологического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рефлюкса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. У детей с кислым вариантом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рефлюкса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чаще, чем в других группах выявлялись признаки соединительнотканной дисплазии: внешние (нарушение осанки, плоскостопие,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гипермобильность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суставов, миопия) и со стороны внутренних органов (удвоение чашечно-лоханочной системы почек, повышенная подвижность почек, пролапсы клапанов сердца, расширение корня аорты). Полученные данные позволяют предположить роль недифференцированной дисплазии соединительной ткани в генезе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>кислого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гастроэзофагеального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рефлюкса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D4A75" w:rsidRPr="00694BFE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A75" w:rsidRPr="00BB2D93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  <w:r w:rsidRPr="00BB2D93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D4A75" w:rsidRPr="003D4A75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Authors tried to study combinations of such signs as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 (GER) and non-differentiated connective tissue </w:t>
      </w:r>
      <w:r w:rsidRPr="00420C06">
        <w:rPr>
          <w:rFonts w:ascii="Times New Roman" w:hAnsi="Times New Roman"/>
          <w:sz w:val="24"/>
          <w:szCs w:val="24"/>
          <w:lang w:val="en-US"/>
        </w:rPr>
        <w:t xml:space="preserve">dysplasia (NDCTD). Study involved 156 children with chronic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gastroduodenitis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>. Patients were divided on 3 groups according to results of 24-hour pH-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metry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>: acidic GER, alkaline GER and patients without pathologic GER. S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igns of connective tissue </w:t>
      </w:r>
      <w:r w:rsidRPr="00420C06">
        <w:rPr>
          <w:rFonts w:ascii="Times New Roman" w:hAnsi="Times New Roman"/>
          <w:sz w:val="24"/>
          <w:szCs w:val="24"/>
          <w:lang w:val="en-US"/>
        </w:rPr>
        <w:t xml:space="preserve">dysplasia, both external (wrong bearing, flat-foot, joint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hypermobility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, myopia) and internal (double renal pelvis, floating kidney, cardiac valve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>, aortal root dilatation) were more frequent in patients with acidic GER in comparison with other groups. This data permit to suspect important role of NDCTD in genesis of acidic GER.</w:t>
      </w:r>
    </w:p>
    <w:p w:rsidR="003D4A75" w:rsidRPr="003D4A75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4A75" w:rsidRPr="003D4A75" w:rsidRDefault="003D4A75" w:rsidP="003D4A7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55698" w:rsidRPr="003D4A75" w:rsidRDefault="00F55698" w:rsidP="003D4A75">
      <w:pPr>
        <w:spacing w:line="240" w:lineRule="auto"/>
        <w:jc w:val="both"/>
        <w:rPr>
          <w:lang w:val="en-US"/>
        </w:rPr>
      </w:pPr>
    </w:p>
    <w:sectPr w:rsidR="00F55698" w:rsidRPr="003D4A75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75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45C6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2C2A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D4A75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2D93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D4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D4A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2012-03-18T15:13:00Z</dcterms:created>
  <dcterms:modified xsi:type="dcterms:W3CDTF">2012-03-21T10:28:00Z</dcterms:modified>
</cp:coreProperties>
</file>