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1" w:rsidRPr="00694BFE" w:rsidRDefault="00055E11" w:rsidP="00055E11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055E11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Клинико-патогенетические характеристики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гастроэзофагеальных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рефлюксов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у д</w:t>
      </w:r>
      <w:r w:rsidRPr="00420C06">
        <w:rPr>
          <w:rFonts w:ascii="Times New Roman" w:eastAsia="Times New Roman" w:hAnsi="Times New Roman"/>
          <w:sz w:val="24"/>
          <w:szCs w:val="24"/>
        </w:rPr>
        <w:t>е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тей </w:t>
      </w:r>
    </w:p>
    <w:p w:rsidR="00055E11" w:rsidRPr="00420C06" w:rsidRDefault="00055E11" w:rsidP="00055E1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0C06">
        <w:rPr>
          <w:rFonts w:ascii="Times New Roman" w:hAnsi="Times New Roman"/>
          <w:sz w:val="24"/>
          <w:szCs w:val="24"/>
          <w:lang w:val="en-US"/>
        </w:rPr>
        <w:t xml:space="preserve">Clinical and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pathogenetical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data of the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refluxes in children </w:t>
      </w:r>
    </w:p>
    <w:p w:rsidR="00055E11" w:rsidRPr="00420C06" w:rsidRDefault="00055E11" w:rsidP="00055E11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0C06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055E11" w:rsidRPr="00055E11" w:rsidRDefault="00055E11" w:rsidP="00055E11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</w:t>
      </w:r>
      <w:r w:rsidRPr="00055E11">
        <w:rPr>
          <w:rFonts w:ascii="Times New Roman" w:hAnsi="Times New Roman"/>
          <w:b/>
          <w:sz w:val="24"/>
          <w:szCs w:val="24"/>
        </w:rPr>
        <w:t>:</w:t>
      </w:r>
      <w:r w:rsidRPr="00055E11">
        <w:rPr>
          <w:rFonts w:ascii="Times New Roman" w:hAnsi="Times New Roman"/>
          <w:b/>
          <w:sz w:val="24"/>
          <w:szCs w:val="24"/>
        </w:rPr>
        <w:tab/>
      </w:r>
    </w:p>
    <w:p w:rsidR="00055E11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Иванова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И</w:t>
      </w:r>
      <w:r w:rsidRPr="00055E11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</w:rPr>
        <w:t>И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Гнусаев</w:t>
      </w:r>
      <w:proofErr w:type="spellEnd"/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С</w:t>
      </w:r>
      <w:r w:rsidRPr="00055E11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</w:rPr>
        <w:t>Ф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Апенченко</w:t>
      </w:r>
      <w:proofErr w:type="spellEnd"/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Ю</w:t>
      </w:r>
      <w:r w:rsidRPr="00055E11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</w:rPr>
        <w:t>С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55E11" w:rsidRPr="00420C06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Ivanova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I.I.</w:t>
      </w:r>
      <w:r w:rsidRPr="00420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Gnusaev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S.F.,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Apenchenko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Yu.S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055E11" w:rsidRPr="00420C06" w:rsidRDefault="00055E11" w:rsidP="00055E11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5E11" w:rsidRDefault="00055E11" w:rsidP="00055E1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55E11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ГБОУ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ВПО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Тверская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ГМА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55E11" w:rsidRPr="00055E11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Tver</w:t>
      </w:r>
      <w:proofErr w:type="spellEnd"/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state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medical</w:t>
      </w:r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academy</w:t>
      </w:r>
      <w:r w:rsidRPr="00055E1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55E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E11" w:rsidRPr="00694BFE" w:rsidRDefault="00055E11" w:rsidP="00055E1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11" w:rsidRDefault="00055E11" w:rsidP="00055E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055E11" w:rsidRPr="00420C06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«Российский вестник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перинатологии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и педиатрии», 2006 г., т.51, №3, с.25-29.</w:t>
      </w:r>
    </w:p>
    <w:p w:rsidR="00055E11" w:rsidRPr="00694BFE" w:rsidRDefault="00055E11" w:rsidP="00055E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E11" w:rsidRDefault="00055E11" w:rsidP="00055E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055E11" w:rsidRPr="00694BFE" w:rsidRDefault="00055E11" w:rsidP="00055E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дети,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гастроэзофагеальная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рефлюксная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болезнь.</w:t>
      </w:r>
    </w:p>
    <w:p w:rsidR="00055E11" w:rsidRPr="00055E11" w:rsidRDefault="00055E11" w:rsidP="00055E1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055E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55E11" w:rsidRPr="00055E11" w:rsidRDefault="00055E11" w:rsidP="00055E1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children</w:t>
      </w:r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>,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</w:t>
      </w:r>
      <w:r w:rsidRPr="00420C06">
        <w:rPr>
          <w:rFonts w:ascii="Times New Roman" w:hAnsi="Times New Roman"/>
          <w:sz w:val="24"/>
          <w:szCs w:val="24"/>
          <w:lang w:val="en-US"/>
        </w:rPr>
        <w:t>a</w:t>
      </w:r>
      <w:r w:rsidRPr="00420C06">
        <w:rPr>
          <w:rFonts w:ascii="Times New Roman" w:hAnsi="Times New Roman"/>
          <w:sz w:val="24"/>
          <w:szCs w:val="24"/>
          <w:lang w:val="en-US"/>
        </w:rPr>
        <w:t>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 disease.</w:t>
      </w:r>
    </w:p>
    <w:p w:rsidR="00055E11" w:rsidRDefault="00055E11" w:rsidP="00055E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055E11" w:rsidRPr="00420C06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Обследованы дети с хроническим гастродуоденитом, из них у 2/3 выявлен патол</w:t>
      </w:r>
      <w:r w:rsidRPr="00420C06">
        <w:rPr>
          <w:rFonts w:ascii="Times New Roman" w:eastAsia="Times New Roman" w:hAnsi="Times New Roman"/>
          <w:sz w:val="24"/>
          <w:szCs w:val="24"/>
        </w:rPr>
        <w:t>о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гический ГЭР. Кислый вариант встречался в 2 раза чаще щелочного. Для большинства детей с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>патол</w:t>
      </w:r>
      <w:r w:rsidRPr="00420C06">
        <w:rPr>
          <w:rFonts w:ascii="Times New Roman" w:eastAsia="Times New Roman" w:hAnsi="Times New Roman"/>
          <w:sz w:val="24"/>
          <w:szCs w:val="24"/>
        </w:rPr>
        <w:t>о</w:t>
      </w:r>
      <w:r w:rsidRPr="00420C06">
        <w:rPr>
          <w:rFonts w:ascii="Times New Roman" w:eastAsia="Times New Roman" w:hAnsi="Times New Roman"/>
          <w:sz w:val="24"/>
          <w:szCs w:val="24"/>
        </w:rPr>
        <w:t>гическим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ГЭР характерны нарушения в вегетативном статусе, в частности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гиперсимпатик</w:t>
      </w:r>
      <w:r w:rsidRPr="00420C06">
        <w:rPr>
          <w:rFonts w:ascii="Times New Roman" w:eastAsia="Times New Roman" w:hAnsi="Times New Roman"/>
          <w:sz w:val="24"/>
          <w:szCs w:val="24"/>
        </w:rPr>
        <w:t>о</w:t>
      </w:r>
      <w:r w:rsidRPr="00420C06">
        <w:rPr>
          <w:rFonts w:ascii="Times New Roman" w:eastAsia="Times New Roman" w:hAnsi="Times New Roman"/>
          <w:sz w:val="24"/>
          <w:szCs w:val="24"/>
        </w:rPr>
        <w:t>тоническая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вегетативная реактивность и недостаточное вегетативное обеспечение деятел</w:t>
      </w:r>
      <w:r w:rsidRPr="00420C06">
        <w:rPr>
          <w:rFonts w:ascii="Times New Roman" w:eastAsia="Times New Roman" w:hAnsi="Times New Roman"/>
          <w:sz w:val="24"/>
          <w:szCs w:val="24"/>
        </w:rPr>
        <w:t>ь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ности. У детей с кислыми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рефлюксами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преобладают парасимпатические влияния, у детей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щелочными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рефлюксами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- симпатические влияния, что требует дифференцированного н</w:t>
      </w:r>
      <w:r w:rsidRPr="00420C06">
        <w:rPr>
          <w:rFonts w:ascii="Times New Roman" w:eastAsia="Times New Roman" w:hAnsi="Times New Roman"/>
          <w:sz w:val="24"/>
          <w:szCs w:val="24"/>
        </w:rPr>
        <w:t>а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значения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вегетотропной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терапии. </w:t>
      </w:r>
    </w:p>
    <w:p w:rsidR="00055E11" w:rsidRPr="00694BFE" w:rsidRDefault="00055E11" w:rsidP="00055E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E11" w:rsidRDefault="00055E11" w:rsidP="00055E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694BFE">
        <w:rPr>
          <w:rFonts w:ascii="Times New Roman" w:hAnsi="Times New Roman"/>
          <w:b/>
          <w:sz w:val="24"/>
          <w:szCs w:val="24"/>
        </w:rPr>
        <w:t>.</w:t>
      </w:r>
    </w:p>
    <w:p w:rsidR="00F55698" w:rsidRPr="00055E11" w:rsidRDefault="00055E11" w:rsidP="00055E11">
      <w:pPr>
        <w:spacing w:line="240" w:lineRule="auto"/>
        <w:jc w:val="both"/>
        <w:rPr>
          <w:lang w:val="en-US"/>
        </w:rPr>
      </w:pP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Children with chronic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gastroduodenitis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were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investigated,</w:t>
      </w:r>
      <w:proofErr w:type="gram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from them at 2/3 the pathological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 was revealed. The acid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 met in 2 times more o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ten the alkaline.</w:t>
      </w:r>
      <w:r w:rsidRPr="00420C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For the majority of children with pathological reflux infringements in the veget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tive status, in particular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hypersympathetic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vegetative reactance and insufficient vegetative maintenance of a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tivity are characteristic. At children with sour refluxes parasympathetic influences, at children with alkaline refluxes - sympathetic influences prevail that demands the differentiated a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pointment to therapy.</w:t>
      </w:r>
    </w:p>
    <w:sectPr w:rsidR="00F55698" w:rsidRPr="00055E11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11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5E11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02D2B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5E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2012-03-18T15:18:00Z</dcterms:created>
  <dcterms:modified xsi:type="dcterms:W3CDTF">2012-03-18T15:20:00Z</dcterms:modified>
</cp:coreProperties>
</file>