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96" w:rsidRPr="00694BFE" w:rsidRDefault="00A53696" w:rsidP="00A53696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A53696" w:rsidRPr="00065818" w:rsidRDefault="00A53696" w:rsidP="00A53696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818">
        <w:rPr>
          <w:rFonts w:ascii="Times New Roman" w:hAnsi="Times New Roman"/>
          <w:sz w:val="24"/>
          <w:szCs w:val="24"/>
        </w:rPr>
        <w:t xml:space="preserve">Новый способ профилактики и лечения диабетической автономной кардиоваскулярной </w:t>
      </w:r>
      <w:proofErr w:type="spellStart"/>
      <w:r w:rsidRPr="00065818">
        <w:rPr>
          <w:rFonts w:ascii="Times New Roman" w:hAnsi="Times New Roman"/>
          <w:sz w:val="24"/>
          <w:szCs w:val="24"/>
        </w:rPr>
        <w:t>нейропатии</w:t>
      </w:r>
      <w:proofErr w:type="spellEnd"/>
      <w:r w:rsidRPr="00065818">
        <w:rPr>
          <w:rFonts w:ascii="Times New Roman" w:hAnsi="Times New Roman"/>
          <w:sz w:val="24"/>
          <w:szCs w:val="24"/>
        </w:rPr>
        <w:t xml:space="preserve"> у детей и подростков с применением препарата </w:t>
      </w:r>
      <w:proofErr w:type="spellStart"/>
      <w:r w:rsidRPr="00065818">
        <w:rPr>
          <w:rFonts w:ascii="Times New Roman" w:hAnsi="Times New Roman"/>
          <w:sz w:val="24"/>
          <w:szCs w:val="24"/>
        </w:rPr>
        <w:t>Магнерот</w:t>
      </w:r>
      <w:proofErr w:type="spellEnd"/>
      <w:r w:rsidRPr="00065818">
        <w:rPr>
          <w:rFonts w:ascii="Times New Roman" w:hAnsi="Times New Roman"/>
          <w:sz w:val="24"/>
          <w:szCs w:val="24"/>
        </w:rPr>
        <w:tab/>
      </w:r>
    </w:p>
    <w:p w:rsidR="00A53696" w:rsidRDefault="00A53696" w:rsidP="00A53696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A53696" w:rsidRPr="00694BFE" w:rsidRDefault="00A53696" w:rsidP="00A53696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C06">
        <w:rPr>
          <w:rFonts w:ascii="Times New Roman" w:hAnsi="Times New Roman"/>
          <w:snapToGrid w:val="0"/>
          <w:sz w:val="24"/>
          <w:szCs w:val="24"/>
        </w:rPr>
        <w:t>Расторгуева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20C06">
        <w:rPr>
          <w:rFonts w:ascii="Times New Roman" w:hAnsi="Times New Roman"/>
          <w:snapToGrid w:val="0"/>
          <w:sz w:val="24"/>
          <w:szCs w:val="24"/>
        </w:rPr>
        <w:t xml:space="preserve">Т.А., Иванов Д.А., </w:t>
      </w:r>
      <w:proofErr w:type="spellStart"/>
      <w:r w:rsidRPr="00420C06">
        <w:rPr>
          <w:rFonts w:ascii="Times New Roman" w:hAnsi="Times New Roman"/>
          <w:snapToGrid w:val="0"/>
          <w:sz w:val="24"/>
          <w:szCs w:val="24"/>
        </w:rPr>
        <w:t>Гнусаев</w:t>
      </w:r>
      <w:proofErr w:type="spellEnd"/>
      <w:r w:rsidRPr="00420C06">
        <w:rPr>
          <w:rFonts w:ascii="Times New Roman" w:hAnsi="Times New Roman"/>
          <w:snapToGrid w:val="0"/>
          <w:sz w:val="24"/>
          <w:szCs w:val="24"/>
        </w:rPr>
        <w:t xml:space="preserve"> С.Ф.</w:t>
      </w:r>
    </w:p>
    <w:p w:rsidR="00A53696" w:rsidRDefault="00A53696" w:rsidP="00A5369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0408D4" w:rsidRPr="000408D4" w:rsidRDefault="000408D4" w:rsidP="000408D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0408D4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0408D4" w:rsidRPr="000408D4" w:rsidRDefault="000408D4" w:rsidP="000408D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408D4" w:rsidRPr="000408D4" w:rsidRDefault="000408D4" w:rsidP="000408D4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0408D4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0408D4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0408D4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408D4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0408D4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0408D4" w:rsidRPr="000408D4" w:rsidRDefault="000408D4" w:rsidP="000408D4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3696" w:rsidRDefault="00A53696" w:rsidP="00A536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A53696" w:rsidRPr="00420C06" w:rsidRDefault="00A53696" w:rsidP="00A5369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C06">
        <w:rPr>
          <w:rFonts w:ascii="Times New Roman" w:hAnsi="Times New Roman"/>
          <w:iCs/>
          <w:sz w:val="24"/>
          <w:szCs w:val="24"/>
        </w:rPr>
        <w:t xml:space="preserve">«Российский вестник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перинатологии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и педиатрии», 2010 г., №2.</w:t>
      </w:r>
    </w:p>
    <w:p w:rsidR="00A53696" w:rsidRPr="00694BFE" w:rsidRDefault="00A53696" w:rsidP="00A536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696" w:rsidRDefault="00A53696" w:rsidP="00A536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A53696" w:rsidRPr="00694BFE" w:rsidRDefault="00A53696" w:rsidP="00A536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C06">
        <w:rPr>
          <w:rFonts w:ascii="Times New Roman" w:hAnsi="Times New Roman"/>
          <w:iCs/>
          <w:sz w:val="24"/>
          <w:szCs w:val="24"/>
        </w:rPr>
        <w:t>диабетическая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 автономная кардиоваскулярная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, сахарный диабет 1 типа, дети, магний,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Магнерот</w:t>
      </w:r>
      <w:proofErr w:type="spellEnd"/>
    </w:p>
    <w:p w:rsidR="00A53696" w:rsidRPr="00694BFE" w:rsidRDefault="00A53696" w:rsidP="00A536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3696" w:rsidRDefault="00A53696" w:rsidP="00A536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A53696" w:rsidRPr="00694BFE" w:rsidRDefault="00A53696" w:rsidP="00A536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20C06">
        <w:rPr>
          <w:rFonts w:ascii="Times New Roman" w:hAnsi="Times New Roman"/>
          <w:iCs/>
          <w:sz w:val="24"/>
          <w:szCs w:val="24"/>
        </w:rPr>
        <w:t xml:space="preserve">Целью исследования явилась разработка нового способа профилактики и лечения диабетической автономной кардиоваскулярной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нейропатии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у детей, основанного на оптимизации комплексной метаболической терапии, включением препарата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Магнерот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Wörwag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Pharma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GmbH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&amp;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Co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420C06">
        <w:rPr>
          <w:rFonts w:ascii="Times New Roman" w:hAnsi="Times New Roman"/>
          <w:iCs/>
          <w:sz w:val="24"/>
          <w:szCs w:val="24"/>
        </w:rPr>
        <w:t>KG, Германия).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 В исследование включены 52 ребенка с признаками автономной кардиоваскулярной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нейропатии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, которые были разбиты на 2 группы. В первую группу вошли 26 детей, получивших метаболическую терапию (витамины группы В, </w:t>
      </w:r>
      <w:proofErr w:type="gramStart"/>
      <w:r w:rsidRPr="00420C06">
        <w:rPr>
          <w:rFonts w:ascii="Times New Roman" w:hAnsi="Times New Roman"/>
          <w:iCs/>
          <w:sz w:val="24"/>
          <w:szCs w:val="24"/>
        </w:rPr>
        <w:t>α-</w:t>
      </w:r>
      <w:proofErr w:type="gramEnd"/>
      <w:r w:rsidRPr="00420C06">
        <w:rPr>
          <w:rFonts w:ascii="Times New Roman" w:hAnsi="Times New Roman"/>
          <w:iCs/>
          <w:sz w:val="24"/>
          <w:szCs w:val="24"/>
        </w:rPr>
        <w:t xml:space="preserve">липоевая кислота) в сочетании с препаратом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Магнерот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, группу сравнения составили 26 детей, получавшие общепринятую метаболическую терапию. Контрольную группу составили 30 здоровых детей, сопоставимых по возрасту и полу. При анализе полученных данных выявлено достоверное повышение концентрации магния в крови и секрете слюнных желез после 4-х недельного приема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Магнерота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. Проведение курса лечения метаболическими препаратами в сочетании с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Магнеротом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способствовало достоверному увеличению временных показателей вариабельности ритма сердца по данным суточного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мониторирования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ЭКГ. Стандартная терапия не привела к достоверному изменению временных показателей вариабельности ритма сердца. Установлено, что заместительная терапия препаратом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Магнерот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в составе метаболического комплекса способствует эффективному устранению проявлений автономной кардиоваскулярной </w:t>
      </w:r>
      <w:proofErr w:type="spellStart"/>
      <w:r w:rsidRPr="00420C06">
        <w:rPr>
          <w:rFonts w:ascii="Times New Roman" w:hAnsi="Times New Roman"/>
          <w:iCs/>
          <w:sz w:val="24"/>
          <w:szCs w:val="24"/>
        </w:rPr>
        <w:t>нейропатии</w:t>
      </w:r>
      <w:proofErr w:type="spellEnd"/>
      <w:r w:rsidRPr="00420C06">
        <w:rPr>
          <w:rFonts w:ascii="Times New Roman" w:hAnsi="Times New Roman"/>
          <w:iCs/>
          <w:sz w:val="24"/>
          <w:szCs w:val="24"/>
        </w:rPr>
        <w:t xml:space="preserve"> на ранней стадии ее развития у детей и подростков с сахарным диабетом 1 типа.</w:t>
      </w:r>
    </w:p>
    <w:p w:rsidR="00F55698" w:rsidRDefault="00F55698" w:rsidP="00A53696">
      <w:pPr>
        <w:spacing w:line="240" w:lineRule="auto"/>
        <w:jc w:val="both"/>
      </w:pPr>
    </w:p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96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08D4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26EFE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53696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3AB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6875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36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2012-03-18T15:44:00Z</dcterms:created>
  <dcterms:modified xsi:type="dcterms:W3CDTF">2012-03-21T10:31:00Z</dcterms:modified>
</cp:coreProperties>
</file>